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Corso on line in diretta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shd w:fill="auto" w:val="clear"/>
        </w:rPr>
        <w:t xml:space="preserve">Le attività di accertamento dei tributi locali 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shd w:fill="auto" w:val="clear"/>
        </w:rPr>
        <w:t xml:space="preserve">dopo la riforma del processo tributario e dello Statuto del contribuente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2"/>
          <w:shd w:fill="auto" w:val="clear"/>
        </w:rPr>
        <w:t xml:space="preserve">Indirizzi operativi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Martedì 26 marzo 2024, ore 9.30-11.30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2"/>
          <w:u w:val="single"/>
          <w:shd w:fill="auto" w:val="clear"/>
        </w:rPr>
        <w:t xml:space="preserve">Test di verifica dell’apprendimento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Cognome  ___________________________   Nome  _________________________</w:t>
      </w:r>
    </w:p>
    <w:p>
      <w:pPr>
        <w:keepNext w:val="true"/>
        <w:tabs>
          <w:tab w:val="left" w:pos="42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tabs>
          <w:tab w:val="left" w:pos="425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Ente di appartenenza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2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</w:t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Modalità di compilazione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  <w:tab/>
        <w:tab/>
        <w:t xml:space="preserve">per ogni quesito, barrare una sola risposta</w:t>
      </w:r>
    </w:p>
    <w:p>
      <w:pPr>
        <w:tabs>
          <w:tab w:val="left" w:pos="42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2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*</w:t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Tempo a disposizione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  <w:tab/>
        <w:tab/>
        <w:tab/>
        <w:t xml:space="preserve">10 minuti</w:t>
      </w:r>
    </w:p>
    <w:p>
      <w:pPr>
        <w:tabs>
          <w:tab w:val="left" w:pos="42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2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*</w:t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Criterio di valutazione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  <w:tab/>
        <w:tab/>
        <w:t xml:space="preserve">fino a 2 risposte esatte:</w:t>
        <w:tab/>
        <w:tab/>
        <w:t xml:space="preserve">esito negativo</w:t>
      </w:r>
    </w:p>
    <w:p>
      <w:pPr>
        <w:tabs>
          <w:tab w:val="left" w:pos="42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 xml:space="preserve">con almeno 3 risposte esatte:</w:t>
        <w:tab/>
        <w:t xml:space="preserve">esito positivo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1. Quale dei seguenti atti non è soggetto alla procedura del contraddittorio informato ed effettivo di cui all’art. 6-bis della Legge n. 212/2000?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L’atto di accertamento esecutivo per omessa dichiarazione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L’atto di accertamento esecutivo per omesso versamento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L’atto di accertamento esecutivo per infedele dichiarazione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2. L’istituto dell’autotutela disciplinato dalla Legge n. 212/200, come introdotto dal D.Lgs. n. 219/2023, costituisce un potere che l’Ente deve: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esercitare sempre obbligatoriamente 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esercitare obbligatoriamente nei casi di cui all’art. 10-quater della Legge n. 212/2000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esercitare sempre n maniera discrezionale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3. Qualora un atto di accertamento esecutivo sia notificato ad un soggetto non deputato al suo ritiro, il vizio di notifica:</w:t>
      </w:r>
    </w:p>
    <w:p>
      <w:pPr>
        <w:numPr>
          <w:ilvl w:val="0"/>
          <w:numId w:val="2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è sanato con la presentazione del ricorso</w:t>
      </w:r>
    </w:p>
    <w:p>
      <w:pPr>
        <w:numPr>
          <w:ilvl w:val="0"/>
          <w:numId w:val="2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non può essere mai sanato</w:t>
      </w:r>
    </w:p>
    <w:p>
      <w:pPr>
        <w:numPr>
          <w:ilvl w:val="0"/>
          <w:numId w:val="2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è il giudice che decide in merito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4. Qualora la procedura di contraddittorio preventivo abbia una durata inferiore a 60 giorni, l’atto notificato è: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comunque legittimo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legittimo se notificato con PEC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nullo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5. Con la novità introdotte dal D.Lgs. n. 220/2023 che ha riformato, fra le altre, la procedura di conciliazione, questo istituto può essere adottato:</w:t>
      </w:r>
    </w:p>
    <w:p>
      <w:pPr>
        <w:numPr>
          <w:ilvl w:val="0"/>
          <w:numId w:val="2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 sede di giudizio di primo grado</w:t>
      </w:r>
    </w:p>
    <w:p>
      <w:pPr>
        <w:numPr>
          <w:ilvl w:val="0"/>
          <w:numId w:val="2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 sede di giudizio di primo e secondo grado</w:t>
      </w:r>
    </w:p>
    <w:p>
      <w:pPr>
        <w:numPr>
          <w:ilvl w:val="0"/>
          <w:numId w:val="2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sia nel giudizio di primo e secondo grado, quanto davanti alla Corte di Cassazione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14">
    <w:abstractNumId w:val="24"/>
  </w:num>
  <w:num w:numId="17">
    <w:abstractNumId w:val="18"/>
  </w:num>
  <w:num w:numId="20">
    <w:abstractNumId w:val="12"/>
  </w:num>
  <w:num w:numId="23">
    <w:abstractNumId w:val="6"/>
  </w:num>
  <w:num w:numId="2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