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 w:val="false"/>
          <w:b w:val="false"/>
          <w:iCs/>
          <w:sz w:val="24"/>
          <w:u w:val="single"/>
        </w:rPr>
      </w:pPr>
      <w:r>
        <w:rPr>
          <w:b w:val="false"/>
          <w:iCs/>
          <w:sz w:val="22"/>
          <w:u w:val="single"/>
        </w:rPr>
        <w:t>Corso online in diretta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>La notifica degli atti tributari e delle violazioni al Codice della strada</w:t>
      </w:r>
    </w:p>
    <w:p>
      <w:pPr>
        <w:pStyle w:val="Heading1"/>
        <w:rPr>
          <w:iCs/>
          <w:color w:val="C00000"/>
          <w:sz w:val="22"/>
          <w:szCs w:val="22"/>
        </w:rPr>
      </w:pPr>
      <w:r>
        <w:rPr>
          <w:iCs/>
          <w:color w:val="C00000"/>
          <w:sz w:val="22"/>
          <w:szCs w:val="22"/>
        </w:rPr>
        <w:t>Criticità e soluzioni</w:t>
      </w:r>
    </w:p>
    <w:p>
      <w:pPr>
        <w:pStyle w:val="Heading1"/>
        <w:rPr>
          <w:iCs/>
          <w:sz w:val="22"/>
        </w:rPr>
      </w:pPr>
      <w:r>
        <w:rPr>
          <w:iCs/>
          <w:sz w:val="22"/>
        </w:rPr>
        <w:t>Venerdì 7 febbraio 2025, ore 9.00 – 11.00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Cs w:val="false"/>
          <w:iCs/>
          <w:color w:val="002060"/>
          <w:sz w:val="32"/>
          <w:u w:val="single"/>
        </w:rPr>
      </w:pPr>
      <w:r>
        <w:rPr>
          <w:bCs w:val="false"/>
          <w:iCs/>
          <w:color w:val="002060"/>
          <w:sz w:val="32"/>
          <w:u w:val="single"/>
        </w:rPr>
        <w:t>Test di verifica dell’apprendimento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Heading1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>
      <w:pPr>
        <w:pStyle w:val="Heading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appartenenza  </w:t>
      </w:r>
      <w:r>
        <w:rPr>
          <w:rFonts w:ascii="Times New Roman" w:hAnsi="Times New Roman"/>
          <w:sz w:val="22"/>
        </w:rPr>
        <w:t>________________________________________________________________</w:t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/>
        <w:t>*</w:t>
        <w:tab/>
        <w:tab/>
      </w:r>
      <w:r>
        <w:rPr>
          <w:rFonts w:ascii="Times New Roman" w:hAnsi="Times New Roman"/>
          <w:b/>
        </w:rPr>
        <w:t>Modalità di compilazione</w:t>
      </w:r>
      <w:r>
        <w:rPr>
          <w:rFonts w:ascii="Times New Roman" w:hAnsi="Times New Roman"/>
        </w:rPr>
        <w:t>:</w:t>
        <w:tab/>
        <w:tab/>
        <w:t>per ogni quesito, barrare una sola risposta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Tempo a disposizione</w:t>
      </w:r>
      <w:r>
        <w:rPr>
          <w:rFonts w:ascii="Times New Roman" w:hAnsi="Times New Roman"/>
        </w:rPr>
        <w:t>:</w:t>
        <w:tab/>
        <w:tab/>
        <w:tab/>
        <w:t>10 minuti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Criterio di valutazione</w:t>
      </w:r>
      <w:r>
        <w:rPr>
          <w:rFonts w:ascii="Times New Roman" w:hAnsi="Times New Roman"/>
        </w:rPr>
        <w:t>:</w:t>
        <w:tab/>
        <w:tab/>
        <w:t>fino a 2 risposte esatte:</w:t>
        <w:tab/>
        <w:tab/>
        <w:t>esito negativo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con almeno 3 risposte esatte:</w:t>
        <w:tab/>
        <w:t>esito positivo</w:t>
      </w:r>
    </w:p>
    <w:p>
      <w:pPr>
        <w:pStyle w:val="Normal"/>
        <w:spacing w:lineRule="auto" w:line="259" w:before="0" w:after="1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rPr>
          <w:rFonts w:ascii="Times New Roman" w:hAnsi="Times New Roman"/>
          <w:sz w:val="24"/>
          <w:highlight w:val="none"/>
          <w:shd w:fill="FFFFFF" w:val="clear"/>
        </w:rPr>
      </w:pPr>
      <w:r>
        <w:rPr>
          <w:rFonts w:ascii="Times New Roman" w:hAnsi="Times New Roman"/>
          <w:sz w:val="24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1. Che cos’è l’INAD?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L’INAD e l’indice degli indirizzi di posta elettronica certificata delle P.A.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 xml:space="preserve">L’INAD è l’indice degli indirizzi di posta elettronica certificata delle società 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L’INAD è l’indice degli indirizzi di posta elettronica certificata delle persone fisiche, dei professionisti non obbligati all’iscrizione in albi ed elenchi e dei soggetti di diritto privato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2. Il tentativo di notifica a mezzo PEC nei casi di casella non valida o non attiva interrompe comunque i termini di decadenza?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No, mai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Si, sempre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Solo nei confronti delle persone fisiche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3. Quale modalità di notifica è disciplinata dall’art. 143 del Codice di procedura civile?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bookmarkStart w:id="0" w:name="_Hlk188518049"/>
      <w:r>
        <w:rPr>
          <w:rFonts w:ascii="Times New Roman" w:hAnsi="Times New Roman"/>
          <w:shd w:fill="FFFFFF" w:val="clear"/>
        </w:rPr>
        <w:t>La notifica nei casi di irreperibilità temporanea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La notifica nei casi di irreperibilità assoluta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bookmarkStart w:id="1" w:name="_Hlk188518049"/>
      <w:r>
        <w:rPr>
          <w:rFonts w:ascii="Times New Roman" w:hAnsi="Times New Roman"/>
          <w:shd w:fill="FFFFFF" w:val="clear"/>
        </w:rPr>
        <w:t>La notifica alle persone giuridiche</w:t>
      </w:r>
      <w:bookmarkEnd w:id="1"/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4. Si intende perfezionata la notifica effettuata a mezzo posta, con raccomandata A.R., nei casi di mancato recapito?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bookmarkStart w:id="2" w:name="_Hlk188518095"/>
      <w:bookmarkEnd w:id="2"/>
      <w:r>
        <w:rPr>
          <w:rFonts w:eastAsia="Times New Roman" w:ascii="Times New Roman" w:hAnsi="Times New Roman"/>
          <w:shd w:fill="FFFFFF" w:val="clear"/>
        </w:rPr>
        <w:t>Si, la notifica si perfeziona decorsi 10 giorni dal rilascio dell’avviso di giacenza o prima se l’atto viene ritirato presso il punto di deposito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Si, ma solo se effettuata nei confronti delle società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No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  <w:bookmarkStart w:id="3" w:name="_Hlk188518095"/>
      <w:bookmarkStart w:id="4" w:name="_Hlk188518095"/>
      <w:bookmarkEnd w:id="4"/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5. L’art. 60-ter del DPR n. 600/1973 disciplina: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la notifica a mezzo PEC degli atti tributari a decorrere dal 30 aprile 2024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la notifica a mezzo PEC delle sanzioni amministrative ex Legge n. 689/1981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la notifica delle violazioni al Codice della strada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sectPr>
      <w:headerReference w:type="default" r:id="rId2"/>
      <w:type w:val="nextPage"/>
      <w:pgSz w:w="11906" w:h="16838"/>
      <w:pgMar w:left="1134" w:right="1134" w:gutter="0" w:header="708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170" w:leader="none"/>
      </w:tabs>
      <w:rPr/>
    </w:pPr>
    <w:r>
      <w:rPr/>
      <w:drawing>
        <wp:inline distT="0" distB="0" distL="0" distR="0">
          <wp:extent cx="2316480" cy="454025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78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64a8e"/>
    <w:pPr>
      <w:keepNext w:val="true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b64a8e"/>
    <w:pPr>
      <w:keepNext w:val="true"/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tabs>
        <w:tab w:val="clear" w:pos="708"/>
        <w:tab w:val="left" w:pos="425" w:leader="none"/>
      </w:tabs>
      <w:outlineLvl w:val="3"/>
    </w:pPr>
    <w:rPr>
      <w:rFonts w:ascii="Tms Rmn" w:hAnsi="Tms Rmn" w:eastAsia="Times New Roman"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38778b"/>
    <w:rPr>
      <w:rFonts w:ascii="Comic Sans MS" w:hAnsi="Comic Sans MS" w:eastAsia="Times New Roman" w:cs="Times New Roman"/>
      <w:b/>
      <w:sz w:val="28"/>
      <w:szCs w:val="20"/>
      <w:lang w:eastAsia="it-IT"/>
    </w:rPr>
  </w:style>
  <w:style w:type="character" w:styleId="Titolo1Carattere" w:customStyle="1">
    <w:name w:val="Titolo 1 Carattere"/>
    <w:basedOn w:val="DefaultParagraphFont"/>
    <w:link w:val="Heading1"/>
    <w:qFormat/>
    <w:rsid w:val="00b64a8e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Titolo4Carattere" w:customStyle="1">
    <w:name w:val="Titolo 4 Carattere"/>
    <w:basedOn w:val="DefaultParagraphFont"/>
    <w:link w:val="Heading4"/>
    <w:qFormat/>
    <w:rsid w:val="00b64a8e"/>
    <w:rPr>
      <w:rFonts w:ascii="Tms Rmn" w:hAnsi="Tms Rmn" w:eastAsia="Times New Roman" w:cs="Times New Roman"/>
      <w:sz w:val="28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64a8e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64a8e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testoCarattere"/>
    <w:unhideWhenUsed/>
    <w:rsid w:val="0038778b"/>
    <w:pPr>
      <w:jc w:val="center"/>
    </w:pPr>
    <w:rPr>
      <w:rFonts w:ascii="Comic Sans MS" w:hAnsi="Comic Sans MS" w:eastAsia="Times New Roman"/>
      <w:b/>
      <w:sz w:val="28"/>
      <w:szCs w:val="20"/>
      <w:lang w:eastAsia="it-IT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778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sFree_Office_for_Docs_and_PDF/7.4.2.3$Windows_X86_64 LibreOffice_project/382eef1f22670f7f4118c8c2dd222ec7ad009daf</Application>
  <AppVersion>15.0000</AppVersion>
  <Pages>2</Pages>
  <Words>301</Words>
  <Characters>1671</Characters>
  <CharactersWithSpaces>1949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2021-06-14T06:49:00Z</dcterms:created>
  <dc:creator>Donato</dc:creator>
  <dc:description/>
  <dc:language>it-IT</dc:language>
  <cp:lastModifiedBy/>
  <dcterms:modified xsi:type="dcterms:W3CDTF">2025-02-12T16:09:20Z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