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Heading1"/>
        <w:rPr>
          <w:b w:val="false"/>
          <w:b w:val="false"/>
          <w:iCs/>
          <w:sz w:val="24"/>
          <w:u w:val="single"/>
        </w:rPr>
      </w:pPr>
      <w:r>
        <w:rPr>
          <w:b w:val="false"/>
          <w:iCs/>
          <w:sz w:val="22"/>
          <w:u w:val="single"/>
        </w:rPr>
        <w:t>Corso on line in diretta</w:t>
      </w:r>
    </w:p>
    <w:p>
      <w:pPr>
        <w:pStyle w:val="Heading1"/>
        <w:rPr>
          <w:iCs/>
          <w:color w:val="C00000"/>
          <w:szCs w:val="28"/>
        </w:rPr>
      </w:pPr>
      <w:r>
        <w:rPr>
          <w:iCs/>
          <w:color w:val="C00000"/>
          <w:szCs w:val="28"/>
        </w:rPr>
        <w:t xml:space="preserve">La Certificazione Unica 2025 </w:t>
      </w:r>
    </w:p>
    <w:p>
      <w:pPr>
        <w:pStyle w:val="Heading1"/>
        <w:rPr>
          <w:iCs/>
          <w:color w:val="C00000"/>
          <w:szCs w:val="28"/>
        </w:rPr>
      </w:pPr>
      <w:r>
        <w:rPr>
          <w:iCs/>
          <w:color w:val="C00000"/>
          <w:szCs w:val="28"/>
        </w:rPr>
        <w:t xml:space="preserve">e le novità fiscali per i sostituti d’imposta </w:t>
      </w:r>
    </w:p>
    <w:p>
      <w:pPr>
        <w:pStyle w:val="Heading1"/>
        <w:rPr>
          <w:iCs/>
          <w:color w:val="C00000"/>
          <w:sz w:val="20"/>
          <w:szCs w:val="20"/>
        </w:rPr>
      </w:pPr>
      <w:r>
        <w:rPr>
          <w:iCs/>
          <w:color w:val="C00000"/>
          <w:sz w:val="22"/>
          <w:szCs w:val="22"/>
        </w:rPr>
        <w:t>Guida alla compilazione dei quadri fiscali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iCs/>
          <w:szCs w:val="24"/>
          <w:lang w:eastAsia="it-IT"/>
        </w:rPr>
      </w:pPr>
      <w:r>
        <w:rPr>
          <w:rFonts w:eastAsia="Times New Roman" w:ascii="Times New Roman" w:hAnsi="Times New Roman"/>
          <w:b/>
          <w:bCs/>
          <w:iCs/>
          <w:szCs w:val="24"/>
          <w:lang w:eastAsia="it-IT"/>
        </w:rPr>
        <w:t>Venerdì 7 febbraio 2025, ore 9.00-13.00</w:t>
      </w:r>
    </w:p>
    <w:p>
      <w:pPr>
        <w:pStyle w:val="Heading1"/>
        <w:jc w:val="left"/>
        <w:rPr>
          <w:b w:val="false"/>
          <w:b w:val="false"/>
          <w:bCs w:val="false"/>
          <w:iCs/>
          <w:sz w:val="22"/>
        </w:rPr>
      </w:pPr>
      <w:r>
        <w:rPr>
          <w:b w:val="false"/>
          <w:bCs w:val="false"/>
          <w:iCs/>
          <w:sz w:val="22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Heading1"/>
        <w:rPr>
          <w:bCs w:val="false"/>
          <w:iCs/>
          <w:color w:val="002060"/>
          <w:sz w:val="32"/>
          <w:u w:val="single"/>
        </w:rPr>
      </w:pPr>
      <w:r>
        <w:rPr>
          <w:bCs w:val="false"/>
          <w:iCs/>
          <w:color w:val="002060"/>
          <w:sz w:val="32"/>
          <w:u w:val="single"/>
        </w:rPr>
        <w:t>Test di verifica dell’apprendimento</w:t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/>
      </w:pPr>
      <w:r>
        <w:rPr/>
      </w:r>
    </w:p>
    <w:p>
      <w:pPr>
        <w:pStyle w:val="Heading1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>
          <w:sz w:val="22"/>
        </w:rPr>
      </w:pPr>
      <w:r>
        <w:rPr>
          <w:sz w:val="22"/>
        </w:rPr>
        <w:t>Cognome  ___________________________   Nome  _________________________</w:t>
      </w:r>
    </w:p>
    <w:p>
      <w:pPr>
        <w:pStyle w:val="Heading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Ente di appartenenza  </w:t>
      </w:r>
      <w:r>
        <w:rPr>
          <w:rFonts w:ascii="Times New Roman" w:hAnsi="Times New Roman"/>
          <w:sz w:val="22"/>
        </w:rPr>
        <w:t>________________________________________________________________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/>
      </w:pPr>
      <w:r>
        <w:rPr/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/>
        <w:t>*</w:t>
        <w:tab/>
        <w:tab/>
      </w:r>
      <w:r>
        <w:rPr>
          <w:rFonts w:ascii="Times New Roman" w:hAnsi="Times New Roman"/>
          <w:b/>
        </w:rPr>
        <w:t>Modalità di compilazione</w:t>
      </w:r>
      <w:r>
        <w:rPr>
          <w:rFonts w:ascii="Times New Roman" w:hAnsi="Times New Roman"/>
        </w:rPr>
        <w:t>:</w:t>
        <w:tab/>
        <w:tab/>
        <w:t>per ogni quesito, barrare una sola risposta</w:t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*</w:t>
        <w:tab/>
        <w:tab/>
      </w:r>
      <w:r>
        <w:rPr>
          <w:rFonts w:ascii="Times New Roman" w:hAnsi="Times New Roman"/>
          <w:b/>
        </w:rPr>
        <w:t>Tempo a disposizione</w:t>
      </w:r>
      <w:r>
        <w:rPr>
          <w:rFonts w:ascii="Times New Roman" w:hAnsi="Times New Roman"/>
        </w:rPr>
        <w:t>:</w:t>
        <w:tab/>
        <w:tab/>
        <w:tab/>
        <w:t>10 minuti</w:t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*</w:t>
        <w:tab/>
        <w:tab/>
      </w:r>
      <w:r>
        <w:rPr>
          <w:rFonts w:ascii="Times New Roman" w:hAnsi="Times New Roman"/>
          <w:b/>
        </w:rPr>
        <w:t>Criterio di valutazione</w:t>
      </w:r>
      <w:r>
        <w:rPr>
          <w:rFonts w:ascii="Times New Roman" w:hAnsi="Times New Roman"/>
        </w:rPr>
        <w:t>:</w:t>
        <w:tab/>
        <w:tab/>
        <w:t>fino a 2 risposte esatte:</w:t>
        <w:tab/>
        <w:tab/>
        <w:t>esito negativo</w:t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con almeno 3 risposte esatte:</w:t>
        <w:tab/>
        <w:t>esito positivo</w:t>
      </w:r>
    </w:p>
    <w:p>
      <w:pPr>
        <w:pStyle w:val="Normal"/>
        <w:spacing w:lineRule="auto" w:line="259" w:before="0" w:after="1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spacing w:lineRule="atLeast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tLeast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tLeast" w:line="240"/>
        <w:ind w:right="-1" w:hanging="0"/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b/>
          <w:shd w:fill="FFFFFF" w:val="clear"/>
        </w:rPr>
        <w:t>1. Il trattamento integrativo del reddito di lavoro dipendente spetta ai soggetti:</w:t>
      </w:r>
    </w:p>
    <w:p>
      <w:pPr>
        <w:pStyle w:val="ListParagraph"/>
        <w:numPr>
          <w:ilvl w:val="0"/>
          <w:numId w:val="2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con imposta lorda capiente rispetto alle sole detrazioni di lavoro dipendente</w:t>
      </w:r>
    </w:p>
    <w:p>
      <w:pPr>
        <w:pStyle w:val="ListParagraph"/>
        <w:numPr>
          <w:ilvl w:val="0"/>
          <w:numId w:val="2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con imposta lorda capiente rispetto alle detrazioni per carichi di famiglia</w:t>
      </w:r>
    </w:p>
    <w:p>
      <w:pPr>
        <w:pStyle w:val="ListParagraph"/>
        <w:numPr>
          <w:ilvl w:val="0"/>
          <w:numId w:val="2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con imposta lorda incapiente rispetto a qualsiasi tipologia di detrazione</w:t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spacing w:lineRule="atLeast" w:line="240"/>
        <w:ind w:right="-1" w:hanging="0"/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b/>
          <w:shd w:fill="FFFFFF" w:val="clear"/>
        </w:rPr>
        <w:t>2. Le detrazioni per figli a carico:</w:t>
      </w:r>
    </w:p>
    <w:p>
      <w:pPr>
        <w:pStyle w:val="ListParagraph"/>
        <w:numPr>
          <w:ilvl w:val="0"/>
          <w:numId w:val="1"/>
        </w:numPr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spettano sempre in presenza del requisito reddituale</w:t>
      </w:r>
    </w:p>
    <w:p>
      <w:pPr>
        <w:pStyle w:val="ListParagraph"/>
        <w:numPr>
          <w:ilvl w:val="0"/>
          <w:numId w:val="1"/>
        </w:numPr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spettano solo per i figli di età almeno pari a 21 anni</w:t>
      </w:r>
    </w:p>
    <w:p>
      <w:pPr>
        <w:pStyle w:val="ListParagraph"/>
        <w:numPr>
          <w:ilvl w:val="0"/>
          <w:numId w:val="1"/>
        </w:numPr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spettano sempre per i figli disabili e per quelli di età non superiore a 3 anni</w:t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spacing w:lineRule="atLeast" w:line="240"/>
        <w:ind w:right="-1" w:hanging="0"/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b/>
          <w:shd w:fill="FFFFFF" w:val="clear"/>
        </w:rPr>
        <w:t>3. In caso di recupero del trattamento integrativo non spettante:</w:t>
      </w:r>
    </w:p>
    <w:p>
      <w:pPr>
        <w:pStyle w:val="ListParagraph"/>
        <w:numPr>
          <w:ilvl w:val="0"/>
          <w:numId w:val="5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si rateizza sempre l’importo a debito</w:t>
      </w:r>
    </w:p>
    <w:p>
      <w:pPr>
        <w:pStyle w:val="ListParagraph"/>
        <w:numPr>
          <w:ilvl w:val="0"/>
          <w:numId w:val="5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si rateizza l’importo a debito solo in sede di conguaglio di fine anno, se maggiore di 60 euro</w:t>
      </w:r>
    </w:p>
    <w:p>
      <w:pPr>
        <w:pStyle w:val="ListParagraph"/>
        <w:numPr>
          <w:ilvl w:val="0"/>
          <w:numId w:val="5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si rateizza l’importo a debito, se maggiore di 60 euro, sia in sede di conguaglio di fine anno che in sede di fine rapporto</w:t>
      </w:r>
    </w:p>
    <w:p>
      <w:pPr>
        <w:pStyle w:val="Normal"/>
        <w:jc w:val="both"/>
        <w:rPr>
          <w:rFonts w:ascii="Times New Roman" w:hAnsi="Times New Roman" w:eastAsia="Times New Roman"/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b/>
          <w:shd w:fill="FFFFFF" w:val="clear"/>
        </w:rPr>
        <w:t>4. La tassazione dei redditi degli eredi:</w:t>
      </w:r>
    </w:p>
    <w:p>
      <w:pPr>
        <w:pStyle w:val="ListParagraph"/>
        <w:numPr>
          <w:ilvl w:val="0"/>
          <w:numId w:val="4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è sempre separata</w:t>
      </w:r>
    </w:p>
    <w:p>
      <w:pPr>
        <w:pStyle w:val="ListParagraph"/>
        <w:numPr>
          <w:ilvl w:val="0"/>
          <w:numId w:val="4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è di tipo ordinario</w:t>
      </w:r>
    </w:p>
    <w:p>
      <w:pPr>
        <w:pStyle w:val="ListParagraph"/>
        <w:numPr>
          <w:ilvl w:val="0"/>
          <w:numId w:val="4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è di tipo ordinario per gli emolumenti correnti (ultima mensilità, rateo di tredicesima e altro) e invece separata per le altre somme retributive</w:t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highlight w:val="none"/>
          <w:shd w:fill="FFFFFF" w:val="clear"/>
        </w:rPr>
      </w:pPr>
      <w:r>
        <w:rPr>
          <w:rFonts w:ascii="Times New Roman" w:hAnsi="Times New Roman"/>
          <w:shd w:fill="FFFFFF" w:val="clear"/>
        </w:rPr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b/>
          <w:shd w:fill="FFFFFF" w:val="clear"/>
        </w:rPr>
        <w:t>5. La restituzione di somme tassate in anni precedenti, al netto della ritenuta subita:</w:t>
      </w:r>
    </w:p>
    <w:p>
      <w:pPr>
        <w:pStyle w:val="ListParagraph"/>
        <w:numPr>
          <w:ilvl w:val="0"/>
          <w:numId w:val="3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costituisce un onere deducibile per il dipendente</w:t>
      </w:r>
    </w:p>
    <w:p>
      <w:pPr>
        <w:pStyle w:val="ListParagraph"/>
        <w:numPr>
          <w:ilvl w:val="0"/>
          <w:numId w:val="3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dà diritto al credito d’imposta del 30% sulle somme ricevute in favore del sostituto d’imposta</w:t>
      </w:r>
    </w:p>
    <w:p>
      <w:pPr>
        <w:pStyle w:val="ListParagraph"/>
        <w:numPr>
          <w:ilvl w:val="0"/>
          <w:numId w:val="3"/>
        </w:numPr>
        <w:jc w:val="both"/>
        <w:rPr>
          <w:highlight w:val="none"/>
          <w:shd w:fill="FFFFFF" w:val="clear"/>
        </w:rPr>
      </w:pPr>
      <w:r>
        <w:rPr>
          <w:rFonts w:eastAsia="Times New Roman" w:ascii="Times New Roman" w:hAnsi="Times New Roman"/>
          <w:shd w:fill="FFFFFF" w:val="clear"/>
        </w:rPr>
        <w:t>costituisce un onere detraibile per il dipendente</w:t>
      </w:r>
    </w:p>
    <w:sectPr>
      <w:headerReference w:type="default" r:id="rId2"/>
      <w:type w:val="nextPage"/>
      <w:pgSz w:w="11906" w:h="16838"/>
      <w:pgMar w:left="1134" w:right="1134" w:gutter="0" w:header="708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3170" w:leader="none"/>
      </w:tabs>
      <w:rPr/>
    </w:pPr>
    <w:r>
      <w:rPr/>
      <w:drawing>
        <wp:inline distT="0" distB="0" distL="0" distR="0">
          <wp:extent cx="2316480" cy="454025"/>
          <wp:effectExtent l="0" t="0" r="0" b="0"/>
          <wp:docPr id="1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778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qFormat/>
    <w:rsid w:val="00b64a8e"/>
    <w:pPr>
      <w:keepNext w:val="true"/>
      <w:jc w:val="center"/>
      <w:outlineLvl w:val="0"/>
    </w:pPr>
    <w:rPr>
      <w:rFonts w:ascii="Times New Roman" w:hAnsi="Times New Roman" w:eastAsia="Times New Roman"/>
      <w:b/>
      <w:bCs/>
      <w:sz w:val="28"/>
      <w:szCs w:val="24"/>
      <w:lang w:eastAsia="it-IT"/>
    </w:rPr>
  </w:style>
  <w:style w:type="paragraph" w:styleId="Heading4">
    <w:name w:val="Heading 4"/>
    <w:basedOn w:val="Normal"/>
    <w:next w:val="Normal"/>
    <w:link w:val="Titolo4Carattere"/>
    <w:qFormat/>
    <w:rsid w:val="00b64a8e"/>
    <w:pPr>
      <w:keepNext w:val="true"/>
      <w:pBdr>
        <w:top w:val="dashSmallGap" w:sz="8" w:space="1" w:color="000000"/>
        <w:left w:val="dashSmallGap" w:sz="8" w:space="4" w:color="000000"/>
        <w:bottom w:val="dashSmallGap" w:sz="8" w:space="1" w:color="000000"/>
        <w:right w:val="dashSmallGap" w:sz="8" w:space="4" w:color="000000"/>
      </w:pBdr>
      <w:tabs>
        <w:tab w:val="clear" w:pos="708"/>
        <w:tab w:val="left" w:pos="425" w:leader="none"/>
      </w:tabs>
      <w:outlineLvl w:val="3"/>
    </w:pPr>
    <w:rPr>
      <w:rFonts w:ascii="Tms Rmn" w:hAnsi="Tms Rmn" w:eastAsia="Times New Roman"/>
      <w:sz w:val="2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qFormat/>
    <w:rsid w:val="0038778b"/>
    <w:rPr>
      <w:rFonts w:ascii="Comic Sans MS" w:hAnsi="Comic Sans MS" w:eastAsia="Times New Roman" w:cs="Times New Roman"/>
      <w:b/>
      <w:sz w:val="28"/>
      <w:szCs w:val="20"/>
      <w:lang w:eastAsia="it-IT"/>
    </w:rPr>
  </w:style>
  <w:style w:type="character" w:styleId="Titolo1Carattere" w:customStyle="1">
    <w:name w:val="Titolo 1 Carattere"/>
    <w:basedOn w:val="DefaultParagraphFont"/>
    <w:link w:val="Heading1"/>
    <w:qFormat/>
    <w:rsid w:val="00b64a8e"/>
    <w:rPr>
      <w:rFonts w:ascii="Times New Roman" w:hAnsi="Times New Roman" w:eastAsia="Times New Roman" w:cs="Times New Roman"/>
      <w:b/>
      <w:bCs/>
      <w:sz w:val="28"/>
      <w:szCs w:val="24"/>
      <w:lang w:eastAsia="it-IT"/>
    </w:rPr>
  </w:style>
  <w:style w:type="character" w:styleId="Titolo4Carattere" w:customStyle="1">
    <w:name w:val="Titolo 4 Carattere"/>
    <w:basedOn w:val="DefaultParagraphFont"/>
    <w:link w:val="Heading4"/>
    <w:qFormat/>
    <w:rsid w:val="00b64a8e"/>
    <w:rPr>
      <w:rFonts w:ascii="Tms Rmn" w:hAnsi="Tms Rmn" w:eastAsia="Times New Roman" w:cs="Times New Roman"/>
      <w:sz w:val="28"/>
      <w:szCs w:val="20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b64a8e"/>
    <w:rPr>
      <w:rFonts w:ascii="Calibri" w:hAnsi="Calibri" w:eastAsia="Calibri" w:cs="Times New Roman"/>
    </w:rPr>
  </w:style>
  <w:style w:type="character" w:styleId="PidipaginaCarattere" w:customStyle="1">
    <w:name w:val="Piè di pagina Carattere"/>
    <w:basedOn w:val="DefaultParagraphFont"/>
    <w:link w:val="Footer"/>
    <w:uiPriority w:val="99"/>
    <w:semiHidden/>
    <w:qFormat/>
    <w:rsid w:val="00b64a8e"/>
    <w:rPr>
      <w:rFonts w:ascii="Calibri" w:hAnsi="Calibri" w:eastAsia="Calibri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CorpotestoCarattere"/>
    <w:unhideWhenUsed/>
    <w:rsid w:val="0038778b"/>
    <w:pPr>
      <w:jc w:val="center"/>
    </w:pPr>
    <w:rPr>
      <w:rFonts w:ascii="Comic Sans MS" w:hAnsi="Comic Sans MS" w:eastAsia="Times New Roman"/>
      <w:b/>
      <w:sz w:val="28"/>
      <w:szCs w:val="20"/>
      <w:lang w:eastAsia="it-IT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8778b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b64a8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semiHidden/>
    <w:unhideWhenUsed/>
    <w:rsid w:val="00b64a8e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64a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AF26-E87C-4303-AB7E-1D3A678D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sFree_Office_for_Docs_and_PDF/7.4.2.3$Windows_X86_64 LibreOffice_project/382eef1f22670f7f4118c8c2dd222ec7ad009daf</Application>
  <AppVersion>15.0000</AppVersion>
  <Pages>2</Pages>
  <Words>315</Words>
  <Characters>1689</Characters>
  <CharactersWithSpaces>1980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2021-02-11T18:21:00Z</dcterms:created>
  <dc:creator>Donato</dc:creator>
  <dc:description/>
  <dc:language>it-IT</dc:language>
  <cp:lastModifiedBy/>
  <dcterms:modified xsi:type="dcterms:W3CDTF">2025-02-17T10:36:15Z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