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C65F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16C49B80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B9022E" w14:textId="77777777" w:rsidR="00227EFB" w:rsidRPr="007B67D4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>C</w:t>
            </w:r>
            <w:r w:rsidR="00B22885"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HECK LIST </w:t>
            </w:r>
            <w:r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  <w:p w14:paraId="0A957196" w14:textId="77777777" w:rsidR="00227EFB" w:rsidRPr="007B67D4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223336ED" w14:textId="77777777" w:rsidR="007B67D4" w:rsidRPr="007B67D4" w:rsidRDefault="007B67D4" w:rsidP="007B67D4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“TEMPESTIVITA’ DEI PAGAMENTI”</w:t>
            </w:r>
          </w:p>
          <w:p w14:paraId="21CED4C0" w14:textId="77777777" w:rsidR="00227EFB" w:rsidRPr="007B67D4" w:rsidRDefault="00BF2E61" w:rsidP="007B67D4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227EFB" w14:paraId="560811FA" w14:textId="77777777" w:rsidTr="00514CB5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0F8E377F" w14:textId="77777777" w:rsidR="00227EFB" w:rsidRPr="007B67D4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5DF3CD3D" w14:textId="77777777" w:rsidR="00905B74" w:rsidRPr="007B67D4" w:rsidRDefault="00BF2E61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>Punto n.4.</w:t>
            </w:r>
            <w:r w:rsidR="00032AA3"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>5</w:t>
            </w:r>
            <w:r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PVC n. 4</w:t>
            </w:r>
            <w:r w:rsidR="00FE04E8" w:rsidRPr="007B67D4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</w:p>
          <w:p w14:paraId="6D158FA6" w14:textId="77777777" w:rsidR="007B67D4" w:rsidRPr="007B67D4" w:rsidRDefault="007B67D4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6F34C21F" w14:textId="77777777" w:rsidR="00227EFB" w:rsidRPr="007B67D4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</w:tr>
      <w:tr w:rsidR="007F3835" w:rsidRPr="003272B0" w14:paraId="134ACB91" w14:textId="77777777" w:rsidTr="00D76784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3D45B46" w14:textId="22938BCD" w:rsidR="007F3835" w:rsidRPr="008F5865" w:rsidRDefault="007F3835" w:rsidP="007F3835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4B0BF2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34BE81B2" w14:textId="77777777" w:rsidR="007F3835" w:rsidRPr="008F5865" w:rsidRDefault="007F3835" w:rsidP="007F3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0B82477C" w14:textId="77777777" w:rsidR="007F3835" w:rsidRDefault="007F3835" w:rsidP="007F3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FFD0DE8" w14:textId="77777777" w:rsidR="007F3835" w:rsidRDefault="007F3835" w:rsidP="007F3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2F59637F" w14:textId="77777777" w:rsidR="007F3835" w:rsidRDefault="007F3835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2D2CF073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EA68142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4B987DC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9DD650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E33C1A2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2984662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6D0F1F9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DFA529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56F27A01" w14:textId="23DA2CD5" w:rsidR="00EC5539" w:rsidRPr="00EC5539" w:rsidRDefault="00A17C3E" w:rsidP="007F3835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EC5539"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3F5F04" w14:textId="1575CE03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2F352C" w:rsidRPr="007B67D4" w14:paraId="55F87985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3702" w14:textId="48F084BF" w:rsidR="002F352C" w:rsidRPr="007B67D4" w:rsidRDefault="002F352C" w:rsidP="002F352C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Il Comune ha adottato un registro cronologico dal quale risultano date di ricezione dell</w:t>
            </w:r>
            <w:r w:rsidR="007F3835">
              <w:rPr>
                <w:rFonts w:ascii="Book Antiqua" w:hAnsi="Book Antiqua"/>
                <w:snapToGrid w:val="0"/>
              </w:rPr>
              <w:t>e</w:t>
            </w:r>
            <w:r w:rsidRPr="007B67D4">
              <w:rPr>
                <w:rFonts w:ascii="Book Antiqua" w:hAnsi="Book Antiqua"/>
                <w:snapToGrid w:val="0"/>
              </w:rPr>
              <w:t xml:space="preserve"> fatture e data dei pagamenti?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094B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333F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F026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A9BD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F352C" w:rsidRPr="007B67D4" w14:paraId="44E12366" w14:textId="77777777" w:rsidTr="002F352C">
        <w:trPr>
          <w:trHeight w:val="60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D68F" w14:textId="77777777" w:rsidR="002F352C" w:rsidRPr="007B67D4" w:rsidRDefault="002F352C" w:rsidP="002F352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Il comune ha proceduto alla tempestiva registrazione di ogni documento fattura ricevuto?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ED5D" w14:textId="77777777" w:rsidR="002F352C" w:rsidRPr="007B67D4" w:rsidRDefault="002F352C" w:rsidP="00E53375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D238" w14:textId="77777777" w:rsidR="002F352C" w:rsidRPr="007B67D4" w:rsidRDefault="002F352C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621E" w14:textId="77777777" w:rsidR="002F352C" w:rsidRPr="007B67D4" w:rsidRDefault="002F352C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0672" w14:textId="77777777" w:rsidR="002F352C" w:rsidRPr="007B67D4" w:rsidRDefault="002F352C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F352C" w:rsidRPr="007B67D4" w14:paraId="38FE4042" w14:textId="77777777" w:rsidTr="00E126A5">
        <w:trPr>
          <w:trHeight w:val="64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7CDAF" w14:textId="77777777" w:rsidR="002F352C" w:rsidRPr="007B67D4" w:rsidRDefault="002F352C" w:rsidP="002F352C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La data di scadenza riportata in fattura corrisponde alla data di scadenza registrata nel sistema adottato per la gestione della contabilità?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3A6CF2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2467F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75405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2F3483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F352C" w:rsidRPr="007B67D4" w14:paraId="24A179BC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0670" w14:textId="4E21782A" w:rsidR="002F352C" w:rsidRPr="007B67D4" w:rsidRDefault="002F352C" w:rsidP="002F352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L’eventuale presenza di date diverse tra quanto riportato in fattura e quanto registrato a sistema   presenta idonee motivazioni?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9DBB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B466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8000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5CC4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F352C" w:rsidRPr="007B67D4" w14:paraId="33951CEA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F36B" w14:textId="750BC8DC" w:rsidR="002F352C" w:rsidRPr="007B67D4" w:rsidRDefault="002F352C" w:rsidP="002F352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Il calcolo dei tempi medi di pagamento viene effettuato attraverso l’utilizzo di apposita funzione del gestionale utilizzato per la gestione della contabilità?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CB5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F79D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3666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C456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2F352C" w:rsidRPr="007B67D4" w14:paraId="7E321DDF" w14:textId="77777777" w:rsidTr="007F3835">
        <w:trPr>
          <w:trHeight w:val="1143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18A4" w14:textId="60258573" w:rsidR="002F352C" w:rsidRPr="007B67D4" w:rsidRDefault="00163B5D" w:rsidP="00163B5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Esiste discordanza tra l’indicatore di tempestività dei pagamenti (trimestrale ed annuale) pubblicato sul sito del MEF e quello determinato dall’applicativo informatico dell’ente?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5167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9FC7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7A71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49A4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2F352C" w:rsidRPr="007B67D4" w14:paraId="734C188D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F99B" w14:textId="0CC1BFA3" w:rsidR="002F352C" w:rsidRPr="007B67D4" w:rsidRDefault="001407BF" w:rsidP="001407BF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 xml:space="preserve">L’Ente, che non ha adottato il SIOPE+, ha comunicato entro il 31 gennaio, tramite la PCC, l’ammontare complessivo dello stock di debiti commerciali residui scaduti e non pagati alla fine dell’esercizio precedente di cui all’art.1, comma 867, della legge n. 145/2018?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AA6B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F0F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F12A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B35E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2F352C" w:rsidRPr="007B67D4" w14:paraId="05EEAAE4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DFA5" w14:textId="7FE19B11" w:rsidR="002F352C" w:rsidRPr="007B67D4" w:rsidRDefault="001407BF" w:rsidP="001407BF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L’Ente, che ha adottato il SIOPE+, ha confrontato che lo stock di debito calcolato dalla PCC corrisponde a quello risultante dalle proprie scritture contabili?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91B0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D120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757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B8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2F352C" w:rsidRPr="007B67D4" w14:paraId="239B5674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A686" w14:textId="0D06C6A0" w:rsidR="002F352C" w:rsidRPr="007B67D4" w:rsidRDefault="001407BF" w:rsidP="00B66BC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L’Ente ha escluso fatture dal calcolo dello stock di debiti commerciali residui scaduti e non pagati?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3747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550B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4DF5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6401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2F352C" w:rsidRPr="007B67D4" w14:paraId="75DB05F4" w14:textId="77777777" w:rsidTr="007F3835">
        <w:trPr>
          <w:trHeight w:val="38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5CAF" w14:textId="2C70AE60" w:rsidR="002F352C" w:rsidRPr="007B67D4" w:rsidRDefault="001407BF" w:rsidP="006F4A2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/>
                <w:snapToGrid w:val="0"/>
              </w:rPr>
              <w:t>L</w:t>
            </w:r>
            <w:r w:rsidR="007A22B6" w:rsidRPr="007B67D4">
              <w:rPr>
                <w:rFonts w:ascii="Book Antiqua" w:hAnsi="Book Antiqua"/>
                <w:snapToGrid w:val="0"/>
              </w:rPr>
              <w:t xml:space="preserve">e </w:t>
            </w:r>
            <w:r w:rsidRPr="007B67D4">
              <w:rPr>
                <w:rFonts w:ascii="Book Antiqua" w:hAnsi="Book Antiqua"/>
                <w:snapToGrid w:val="0"/>
              </w:rPr>
              <w:t xml:space="preserve">fatture </w:t>
            </w:r>
            <w:r w:rsidR="007A22B6" w:rsidRPr="007B67D4">
              <w:rPr>
                <w:rFonts w:ascii="Book Antiqua" w:hAnsi="Book Antiqua"/>
                <w:snapToGrid w:val="0"/>
              </w:rPr>
              <w:t xml:space="preserve">escluse sono </w:t>
            </w:r>
            <w:r w:rsidR="006F4A22" w:rsidRPr="007B67D4">
              <w:rPr>
                <w:rFonts w:ascii="Book Antiqua" w:hAnsi="Book Antiqua"/>
                <w:snapToGrid w:val="0"/>
              </w:rPr>
              <w:t xml:space="preserve">supportate da </w:t>
            </w:r>
            <w:r w:rsidR="007A22B6" w:rsidRPr="007B67D4">
              <w:rPr>
                <w:rFonts w:ascii="Book Antiqua" w:hAnsi="Book Antiqua"/>
                <w:snapToGrid w:val="0"/>
              </w:rPr>
              <w:t>specifica</w:t>
            </w:r>
            <w:r w:rsidR="006F4A22" w:rsidRPr="007B67D4">
              <w:rPr>
                <w:rFonts w:ascii="Book Antiqua" w:hAnsi="Book Antiqua"/>
                <w:snapToGrid w:val="0"/>
              </w:rPr>
              <w:t xml:space="preserve"> </w:t>
            </w:r>
            <w:r w:rsidR="007A22B6" w:rsidRPr="007B67D4">
              <w:rPr>
                <w:rFonts w:ascii="Book Antiqua" w:hAnsi="Book Antiqua"/>
                <w:snapToGrid w:val="0"/>
              </w:rPr>
              <w:t>motiva</w:t>
            </w:r>
            <w:r w:rsidR="006F4A22" w:rsidRPr="007B67D4">
              <w:rPr>
                <w:rFonts w:ascii="Book Antiqua" w:hAnsi="Book Antiqua"/>
                <w:snapToGrid w:val="0"/>
              </w:rPr>
              <w:t>zione</w:t>
            </w:r>
            <w:r w:rsidRPr="007B67D4">
              <w:rPr>
                <w:rFonts w:ascii="Book Antiqua" w:hAnsi="Book Antiqua"/>
                <w:snapToGrid w:val="0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766C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E6B4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3638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F056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F352C" w:rsidRPr="007B67D4" w14:paraId="26357185" w14:textId="77777777" w:rsidTr="007F3835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0655D" w14:textId="79DE5CA5" w:rsidR="002F352C" w:rsidRPr="007B67D4" w:rsidRDefault="006F4A22" w:rsidP="006F4A22">
            <w:pPr>
              <w:pStyle w:val="PreformattatoHTML"/>
              <w:shd w:val="clear" w:color="auto" w:fill="FFFFFF"/>
              <w:jc w:val="both"/>
              <w:rPr>
                <w:rFonts w:ascii="Book Antiqua" w:hAnsi="Book Antiqua"/>
                <w:snapToGrid w:val="0"/>
              </w:rPr>
            </w:pPr>
            <w:r w:rsidRPr="007B67D4">
              <w:rPr>
                <w:rFonts w:ascii="Book Antiqua" w:hAnsi="Book Antiqua" w:cs="Times New Roman"/>
                <w:snapToGrid w:val="0"/>
              </w:rPr>
              <w:t xml:space="preserve">Ai sensi dell’art.1, comma </w:t>
            </w:r>
            <w:r w:rsidR="007A22B6" w:rsidRPr="007B67D4">
              <w:rPr>
                <w:rFonts w:ascii="Book Antiqua" w:hAnsi="Book Antiqua" w:cs="Times New Roman"/>
                <w:snapToGrid w:val="0"/>
              </w:rPr>
              <w:t>872</w:t>
            </w:r>
            <w:r w:rsidRPr="007B67D4">
              <w:rPr>
                <w:rFonts w:ascii="Book Antiqua" w:hAnsi="Book Antiqua" w:cs="Times New Roman"/>
                <w:snapToGrid w:val="0"/>
              </w:rPr>
              <w:t>, della legge n.145/2018 l’Organo di revisione ha verificato la corretta attuazione delle misure sui pagamenti previste dai commi 862 e segg. della medesima legge n.145/2018?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D8736" w14:textId="77777777" w:rsidR="002F352C" w:rsidRPr="007B67D4" w:rsidRDefault="002F352C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90825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A5201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8ACAF" w14:textId="77777777" w:rsidR="002F352C" w:rsidRPr="007B67D4" w:rsidRDefault="002F352C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F3835" w:rsidRPr="00F97FDB" w14:paraId="05093601" w14:textId="77777777" w:rsidTr="007F3835">
        <w:trPr>
          <w:cantSplit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6E28DA6C" w14:textId="77777777" w:rsidR="007F3835" w:rsidRDefault="007F3835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136C9D68" w14:textId="77777777" w:rsidR="007F3835" w:rsidRDefault="007F3835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28C54A51" w14:textId="30504B7C" w:rsidR="007F3835" w:rsidRDefault="007F3835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C0C318" w14:textId="77777777" w:rsidR="007F3835" w:rsidRPr="00F97FDB" w:rsidRDefault="007F3835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7F3835" w:rsidRPr="00F97FDB" w14:paraId="75B0D7EA" w14:textId="77777777" w:rsidTr="007F3835">
        <w:trPr>
          <w:cantSplit/>
          <w:trHeight w:val="318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247CA" w14:textId="101977B6" w:rsidR="007F3835" w:rsidRDefault="007F3835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49910239" w14:textId="77777777" w:rsidR="007F3835" w:rsidRPr="00121841" w:rsidRDefault="007F3835" w:rsidP="007F383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5B0F1C86" w14:textId="77777777" w:rsidR="007F3835" w:rsidRDefault="007F3835" w:rsidP="007F383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6DC61605" w14:textId="77777777" w:rsidR="007F3835" w:rsidRDefault="007F3835" w:rsidP="007F383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347B9BF" w14:textId="77777777" w:rsidR="007F3835" w:rsidRPr="00F97FDB" w:rsidRDefault="007F3835" w:rsidP="007F383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51ADBF02" w14:textId="77777777" w:rsidR="007F3835" w:rsidRPr="00B16AD9" w:rsidRDefault="007F3835" w:rsidP="007F383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21AFC17E" w14:textId="77777777" w:rsidR="007F3835" w:rsidRDefault="007F3835" w:rsidP="007F383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8D2D6CD" w14:textId="77777777" w:rsidR="007F3835" w:rsidRDefault="007F3835" w:rsidP="007F383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31A5EBB" w14:textId="6E9EB000" w:rsidR="007F3835" w:rsidRPr="00F97FDB" w:rsidRDefault="007F3835" w:rsidP="007F383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31D4532F" w14:textId="77777777" w:rsidR="003E0974" w:rsidRDefault="003E0974"/>
    <w:p w14:paraId="3987EFAA" w14:textId="77777777" w:rsidR="003E0974" w:rsidRDefault="003E0974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3E0974" w:rsidRPr="00574869" w14:paraId="749404A0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23270" w14:textId="77777777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0255B8D3" w14:textId="5569BC72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3D3004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A02ABB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121B21A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263E9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3FD02A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0CFFC50E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A56ED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A5A6E1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224491E7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77038" w14:textId="025750C5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28D8EEC9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4D51B7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133F11C5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E1C2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AA6705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9AE665D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97C11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399FA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2F3A57AF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9ED6D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36612A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1B20220E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29CBA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8388B3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4D8C379F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7438F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977A1F0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C944E0F" w14:textId="2B875868" w:rsidR="00C9567A" w:rsidRDefault="00C9567A" w:rsidP="007F3835">
      <w:pPr>
        <w:spacing w:before="100" w:beforeAutospacing="1" w:after="100" w:afterAutospacing="1" w:line="360" w:lineRule="auto"/>
        <w:jc w:val="center"/>
      </w:pPr>
    </w:p>
    <w:sectPr w:rsidR="00C9567A" w:rsidSect="00514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C66B" w14:textId="77777777" w:rsidR="00BE4D75" w:rsidRDefault="00BE4D75" w:rsidP="003D3004">
      <w:r>
        <w:separator/>
      </w:r>
    </w:p>
  </w:endnote>
  <w:endnote w:type="continuationSeparator" w:id="0">
    <w:p w14:paraId="3398B418" w14:textId="77777777" w:rsidR="00BE4D75" w:rsidRDefault="00BE4D75" w:rsidP="003D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F40D" w14:textId="77777777" w:rsidR="003D3004" w:rsidRDefault="003D30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6089" w14:textId="77777777" w:rsidR="003D3004" w:rsidRDefault="003D30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E4E" w14:textId="77777777" w:rsidR="003D3004" w:rsidRDefault="003D3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80D6" w14:textId="77777777" w:rsidR="00BE4D75" w:rsidRDefault="00BE4D75" w:rsidP="003D3004">
      <w:r>
        <w:separator/>
      </w:r>
    </w:p>
  </w:footnote>
  <w:footnote w:type="continuationSeparator" w:id="0">
    <w:p w14:paraId="67316953" w14:textId="77777777" w:rsidR="00BE4D75" w:rsidRDefault="00BE4D75" w:rsidP="003D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4074" w14:textId="77777777" w:rsidR="003D3004" w:rsidRDefault="003D30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1400235"/>
      <w:docPartObj>
        <w:docPartGallery w:val="Watermarks"/>
        <w:docPartUnique/>
      </w:docPartObj>
    </w:sdtPr>
    <w:sdtEndPr/>
    <w:sdtContent>
      <w:p w14:paraId="59B819E7" w14:textId="76E9AF80" w:rsidR="003D3004" w:rsidRDefault="00BE4D75">
        <w:pPr>
          <w:pStyle w:val="Intestazione"/>
        </w:pPr>
        <w:r>
          <w:pict w14:anchorId="1F7DEA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BB93" w14:textId="77777777" w:rsidR="003D3004" w:rsidRDefault="003D30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F47BA"/>
    <w:multiLevelType w:val="hybridMultilevel"/>
    <w:tmpl w:val="C7B87740"/>
    <w:lvl w:ilvl="0" w:tplc="5AC2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6D03"/>
    <w:multiLevelType w:val="hybridMultilevel"/>
    <w:tmpl w:val="B470C5DE"/>
    <w:lvl w:ilvl="0" w:tplc="937E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96337B"/>
    <w:multiLevelType w:val="hybridMultilevel"/>
    <w:tmpl w:val="5448B6E4"/>
    <w:lvl w:ilvl="0" w:tplc="C9B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23"/>
  </w:num>
  <w:num w:numId="5">
    <w:abstractNumId w:val="24"/>
  </w:num>
  <w:num w:numId="6">
    <w:abstractNumId w:val="12"/>
  </w:num>
  <w:num w:numId="7">
    <w:abstractNumId w:val="0"/>
  </w:num>
  <w:num w:numId="8">
    <w:abstractNumId w:val="1"/>
  </w:num>
  <w:num w:numId="9">
    <w:abstractNumId w:val="16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25"/>
  </w:num>
  <w:num w:numId="15">
    <w:abstractNumId w:val="4"/>
  </w:num>
  <w:num w:numId="16">
    <w:abstractNumId w:val="28"/>
  </w:num>
  <w:num w:numId="17">
    <w:abstractNumId w:val="17"/>
  </w:num>
  <w:num w:numId="18">
    <w:abstractNumId w:val="11"/>
  </w:num>
  <w:num w:numId="19">
    <w:abstractNumId w:val="20"/>
  </w:num>
  <w:num w:numId="20">
    <w:abstractNumId w:val="2"/>
  </w:num>
  <w:num w:numId="21">
    <w:abstractNumId w:val="26"/>
  </w:num>
  <w:num w:numId="22">
    <w:abstractNumId w:val="21"/>
  </w:num>
  <w:num w:numId="23">
    <w:abstractNumId w:val="27"/>
  </w:num>
  <w:num w:numId="24">
    <w:abstractNumId w:val="5"/>
  </w:num>
  <w:num w:numId="25">
    <w:abstractNumId w:val="8"/>
  </w:num>
  <w:num w:numId="26">
    <w:abstractNumId w:val="19"/>
  </w:num>
  <w:num w:numId="27">
    <w:abstractNumId w:val="13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32AA3"/>
    <w:rsid w:val="00051835"/>
    <w:rsid w:val="00065FB4"/>
    <w:rsid w:val="00071A61"/>
    <w:rsid w:val="00083398"/>
    <w:rsid w:val="000855E1"/>
    <w:rsid w:val="000A7F37"/>
    <w:rsid w:val="000B1C23"/>
    <w:rsid w:val="000C44F3"/>
    <w:rsid w:val="00104E8C"/>
    <w:rsid w:val="001072D4"/>
    <w:rsid w:val="00135207"/>
    <w:rsid w:val="001407BF"/>
    <w:rsid w:val="00163B5D"/>
    <w:rsid w:val="00184988"/>
    <w:rsid w:val="00191A68"/>
    <w:rsid w:val="001C1D43"/>
    <w:rsid w:val="001E628B"/>
    <w:rsid w:val="0020305A"/>
    <w:rsid w:val="00215AEF"/>
    <w:rsid w:val="00227CDD"/>
    <w:rsid w:val="00227EFB"/>
    <w:rsid w:val="002472C6"/>
    <w:rsid w:val="002776EB"/>
    <w:rsid w:val="002B3C58"/>
    <w:rsid w:val="002E02AE"/>
    <w:rsid w:val="002F352C"/>
    <w:rsid w:val="003017BE"/>
    <w:rsid w:val="003120C4"/>
    <w:rsid w:val="0032412A"/>
    <w:rsid w:val="00341A71"/>
    <w:rsid w:val="00353728"/>
    <w:rsid w:val="00364B15"/>
    <w:rsid w:val="00382F8F"/>
    <w:rsid w:val="00392D3D"/>
    <w:rsid w:val="003D3004"/>
    <w:rsid w:val="003E0974"/>
    <w:rsid w:val="003E34C4"/>
    <w:rsid w:val="003F018F"/>
    <w:rsid w:val="0040561F"/>
    <w:rsid w:val="004373EC"/>
    <w:rsid w:val="004B0BF2"/>
    <w:rsid w:val="004F3FFA"/>
    <w:rsid w:val="00514CB5"/>
    <w:rsid w:val="00564BAF"/>
    <w:rsid w:val="0057557E"/>
    <w:rsid w:val="005812CD"/>
    <w:rsid w:val="005C1F52"/>
    <w:rsid w:val="00602661"/>
    <w:rsid w:val="00607B92"/>
    <w:rsid w:val="00626A94"/>
    <w:rsid w:val="00652BD1"/>
    <w:rsid w:val="006539E0"/>
    <w:rsid w:val="00657F77"/>
    <w:rsid w:val="006918A2"/>
    <w:rsid w:val="006C4A6B"/>
    <w:rsid w:val="006C521D"/>
    <w:rsid w:val="006F4A22"/>
    <w:rsid w:val="00725D13"/>
    <w:rsid w:val="007265B7"/>
    <w:rsid w:val="00740D40"/>
    <w:rsid w:val="007A22B6"/>
    <w:rsid w:val="007B5226"/>
    <w:rsid w:val="007B67D4"/>
    <w:rsid w:val="007C457E"/>
    <w:rsid w:val="007E22BF"/>
    <w:rsid w:val="007E53AA"/>
    <w:rsid w:val="007F02E7"/>
    <w:rsid w:val="007F12DE"/>
    <w:rsid w:val="007F3835"/>
    <w:rsid w:val="008628CB"/>
    <w:rsid w:val="00864F79"/>
    <w:rsid w:val="0087468C"/>
    <w:rsid w:val="008C0360"/>
    <w:rsid w:val="008E23D3"/>
    <w:rsid w:val="00903BE4"/>
    <w:rsid w:val="00905468"/>
    <w:rsid w:val="00905B74"/>
    <w:rsid w:val="009427BC"/>
    <w:rsid w:val="00950B80"/>
    <w:rsid w:val="00961A56"/>
    <w:rsid w:val="00987BAC"/>
    <w:rsid w:val="009A610E"/>
    <w:rsid w:val="009A68BA"/>
    <w:rsid w:val="009A784F"/>
    <w:rsid w:val="009D772A"/>
    <w:rsid w:val="009E4275"/>
    <w:rsid w:val="00A0118F"/>
    <w:rsid w:val="00A01DB1"/>
    <w:rsid w:val="00A17C3E"/>
    <w:rsid w:val="00A26A0F"/>
    <w:rsid w:val="00A540D0"/>
    <w:rsid w:val="00AC4B34"/>
    <w:rsid w:val="00AC732C"/>
    <w:rsid w:val="00AF476C"/>
    <w:rsid w:val="00AF6BBA"/>
    <w:rsid w:val="00B15477"/>
    <w:rsid w:val="00B22885"/>
    <w:rsid w:val="00B46B4B"/>
    <w:rsid w:val="00B66BC1"/>
    <w:rsid w:val="00B76D21"/>
    <w:rsid w:val="00B8307D"/>
    <w:rsid w:val="00BA05EC"/>
    <w:rsid w:val="00BE0630"/>
    <w:rsid w:val="00BE4D75"/>
    <w:rsid w:val="00BF2E61"/>
    <w:rsid w:val="00C06A20"/>
    <w:rsid w:val="00C34E86"/>
    <w:rsid w:val="00C36ABD"/>
    <w:rsid w:val="00C5499F"/>
    <w:rsid w:val="00C565A1"/>
    <w:rsid w:val="00C9567A"/>
    <w:rsid w:val="00C97088"/>
    <w:rsid w:val="00CB0188"/>
    <w:rsid w:val="00CF09A7"/>
    <w:rsid w:val="00D02AB0"/>
    <w:rsid w:val="00D12FC1"/>
    <w:rsid w:val="00D2350C"/>
    <w:rsid w:val="00D41B6E"/>
    <w:rsid w:val="00D477BE"/>
    <w:rsid w:val="00D50BA1"/>
    <w:rsid w:val="00DA6C6D"/>
    <w:rsid w:val="00DE3681"/>
    <w:rsid w:val="00DF16C3"/>
    <w:rsid w:val="00E126A5"/>
    <w:rsid w:val="00E15E90"/>
    <w:rsid w:val="00E17FE6"/>
    <w:rsid w:val="00E431BC"/>
    <w:rsid w:val="00E56E02"/>
    <w:rsid w:val="00E77785"/>
    <w:rsid w:val="00E867A3"/>
    <w:rsid w:val="00E96AA0"/>
    <w:rsid w:val="00EA47E1"/>
    <w:rsid w:val="00EA5C69"/>
    <w:rsid w:val="00EC06EF"/>
    <w:rsid w:val="00EC5539"/>
    <w:rsid w:val="00EC7D1E"/>
    <w:rsid w:val="00ED383F"/>
    <w:rsid w:val="00F360F4"/>
    <w:rsid w:val="00F41169"/>
    <w:rsid w:val="00F41CC3"/>
    <w:rsid w:val="00F82038"/>
    <w:rsid w:val="00F8644E"/>
    <w:rsid w:val="00F872D3"/>
    <w:rsid w:val="00FA6456"/>
    <w:rsid w:val="00FB340A"/>
    <w:rsid w:val="00FB53C2"/>
    <w:rsid w:val="00FD0DBE"/>
    <w:rsid w:val="00FE04E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816"/>
  <w15:docId w15:val="{BFA7E8C1-A6AF-450C-B283-D5CC2B4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0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3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0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08BD-03EC-42F0-A391-CEB03514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12</cp:revision>
  <cp:lastPrinted>2020-05-21T19:43:00Z</cp:lastPrinted>
  <dcterms:created xsi:type="dcterms:W3CDTF">2020-01-19T15:42:00Z</dcterms:created>
  <dcterms:modified xsi:type="dcterms:W3CDTF">2020-06-09T15:46:00Z</dcterms:modified>
</cp:coreProperties>
</file>