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9" w:type="dxa"/>
        <w:tblInd w:w="-37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246"/>
        <w:gridCol w:w="567"/>
        <w:gridCol w:w="567"/>
        <w:gridCol w:w="850"/>
        <w:gridCol w:w="3119"/>
      </w:tblGrid>
      <w:tr w:rsidR="00BB6BE6" w:rsidRPr="009517DE" w14:paraId="0CF7DBBA" w14:textId="77777777" w:rsidTr="0072766B">
        <w:trPr>
          <w:cantSplit/>
          <w:trHeight w:val="126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144FCA" w14:textId="77777777" w:rsidR="00BB6BE6" w:rsidRDefault="00BB6BE6" w:rsidP="0072766B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snapToGrid w:val="0"/>
                <w:sz w:val="24"/>
                <w:szCs w:val="24"/>
              </w:rPr>
            </w:pPr>
          </w:p>
          <w:p w14:paraId="4945EFF8" w14:textId="77777777" w:rsidR="00BB6BE6" w:rsidRPr="009517DE" w:rsidRDefault="00BB6BE6" w:rsidP="0072766B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snapToGrid w:val="0"/>
                <w:sz w:val="24"/>
                <w:szCs w:val="24"/>
              </w:rPr>
            </w:pPr>
            <w:r w:rsidRPr="009517DE">
              <w:rPr>
                <w:rFonts w:ascii="Book Antiqua" w:hAnsi="Book Antiqua"/>
                <w:b/>
                <w:snapToGrid w:val="0"/>
                <w:sz w:val="24"/>
                <w:szCs w:val="24"/>
              </w:rPr>
              <w:t>CHECK LIST</w:t>
            </w:r>
          </w:p>
          <w:p w14:paraId="1B13D30A" w14:textId="77777777" w:rsidR="00BB6BE6" w:rsidRPr="009517DE" w:rsidRDefault="00BB6BE6" w:rsidP="0072766B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snapToGrid w:val="0"/>
                <w:sz w:val="24"/>
                <w:szCs w:val="24"/>
              </w:rPr>
            </w:pPr>
          </w:p>
          <w:p w14:paraId="6293E738" w14:textId="77777777" w:rsidR="00BB6BE6" w:rsidRPr="009517DE" w:rsidRDefault="00BB6BE6" w:rsidP="0072766B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snapToGrid w:val="0"/>
                <w:sz w:val="24"/>
                <w:szCs w:val="24"/>
              </w:rPr>
            </w:pPr>
            <w:r w:rsidRPr="009517DE">
              <w:rPr>
                <w:rFonts w:ascii="Book Antiqua" w:hAnsi="Book Antiqua"/>
                <w:b/>
                <w:snapToGrid w:val="0"/>
                <w:sz w:val="24"/>
                <w:szCs w:val="24"/>
              </w:rPr>
              <w:t>“</w:t>
            </w:r>
            <w:r w:rsidRPr="00BB6BE6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S</w:t>
            </w: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PESE DI RAPPRESENTANZA</w:t>
            </w:r>
            <w:r w:rsidRPr="009517DE">
              <w:rPr>
                <w:rFonts w:ascii="Book Antiqua" w:hAnsi="Book Antiqua"/>
                <w:b/>
                <w:snapToGrid w:val="0"/>
                <w:sz w:val="24"/>
                <w:szCs w:val="24"/>
              </w:rPr>
              <w:t>”</w:t>
            </w:r>
          </w:p>
          <w:p w14:paraId="5F1A3F36" w14:textId="77777777" w:rsidR="00BB6BE6" w:rsidRPr="009517DE" w:rsidRDefault="00BB6BE6" w:rsidP="0072766B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snapToGrid w:val="0"/>
                <w:sz w:val="24"/>
                <w:szCs w:val="24"/>
              </w:rPr>
            </w:pPr>
            <w:r w:rsidRPr="009517DE">
              <w:rPr>
                <w:rFonts w:ascii="Book Antiqua" w:hAnsi="Book Antiqua"/>
                <w:b/>
                <w:snapToGrid w:val="0"/>
                <w:sz w:val="24"/>
                <w:szCs w:val="24"/>
              </w:rPr>
              <w:t xml:space="preserve"> </w:t>
            </w:r>
          </w:p>
        </w:tc>
      </w:tr>
      <w:tr w:rsidR="00BB6BE6" w:rsidRPr="009517DE" w14:paraId="0C4BA6A8" w14:textId="77777777" w:rsidTr="0072766B">
        <w:trPr>
          <w:cantSplit/>
          <w:trHeight w:val="952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</w:tcPr>
          <w:p w14:paraId="1BB531A2" w14:textId="77777777" w:rsidR="00BB6BE6" w:rsidRPr="009517DE" w:rsidRDefault="00BB6BE6" w:rsidP="0072766B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snapToGrid w:val="0"/>
                <w:sz w:val="24"/>
                <w:szCs w:val="24"/>
              </w:rPr>
            </w:pPr>
          </w:p>
          <w:p w14:paraId="113DDD22" w14:textId="77777777" w:rsidR="00BB6BE6" w:rsidRPr="00BB6BE6" w:rsidRDefault="00BB6BE6" w:rsidP="00BB6BE6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BB6BE6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Punto 2.10.2 PVC n. 2</w:t>
            </w:r>
          </w:p>
          <w:p w14:paraId="0D592D8F" w14:textId="77777777" w:rsidR="00BB6BE6" w:rsidRPr="00BB6BE6" w:rsidRDefault="00BB6BE6" w:rsidP="00BB6BE6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14:paraId="31357003" w14:textId="77777777" w:rsidR="00BB6BE6" w:rsidRPr="00BB6BE6" w:rsidRDefault="00BB6BE6" w:rsidP="00BB6BE6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i/>
                <w:snapToGrid w:val="0"/>
                <w:sz w:val="18"/>
                <w:szCs w:val="18"/>
              </w:rPr>
            </w:pPr>
            <w:r w:rsidRPr="00BB6BE6">
              <w:rPr>
                <w:rFonts w:ascii="Book Antiqua" w:hAnsi="Book Antiqua"/>
                <w:b/>
                <w:i/>
                <w:snapToGrid w:val="0"/>
                <w:sz w:val="18"/>
                <w:szCs w:val="18"/>
              </w:rPr>
              <w:t>art. 16, comma 26, del D.L. n.138/2011</w:t>
            </w:r>
          </w:p>
          <w:p w14:paraId="6A16EB3E" w14:textId="77777777" w:rsidR="00BB6BE6" w:rsidRPr="009517DE" w:rsidRDefault="00BB6BE6" w:rsidP="00BB6BE6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snapToGrid w:val="0"/>
                <w:sz w:val="24"/>
                <w:szCs w:val="24"/>
              </w:rPr>
            </w:pPr>
          </w:p>
        </w:tc>
      </w:tr>
      <w:tr w:rsidR="008D66BC" w:rsidRPr="003272B0" w14:paraId="4FACA780" w14:textId="77777777" w:rsidTr="006404FA">
        <w:trPr>
          <w:cantSplit/>
          <w:trHeight w:val="284"/>
        </w:trPr>
        <w:tc>
          <w:tcPr>
            <w:tcW w:w="10349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27E46DB3" w14:textId="3F7C8667" w:rsidR="008D66BC" w:rsidRPr="008F5865" w:rsidRDefault="008D66BC" w:rsidP="008D66BC">
            <w:pPr>
              <w:rPr>
                <w:rFonts w:ascii="Book Antiqua" w:hAnsi="Book Antiqua"/>
                <w:b/>
              </w:rPr>
            </w:pPr>
            <w:r w:rsidRPr="008F5865">
              <w:rPr>
                <w:rFonts w:ascii="Book Antiqua" w:hAnsi="Book Antiqua"/>
                <w:b/>
              </w:rPr>
              <w:t>Ente…………………………..</w:t>
            </w:r>
            <w:r w:rsidR="00D016A1">
              <w:rPr>
                <w:rFonts w:ascii="Book Antiqua" w:hAnsi="Book Antiqua"/>
                <w:b/>
              </w:rPr>
              <w:t xml:space="preserve">                                                                                           </w:t>
            </w:r>
          </w:p>
          <w:p w14:paraId="01513323" w14:textId="77777777" w:rsidR="008D66BC" w:rsidRPr="008F5865" w:rsidRDefault="008D66BC" w:rsidP="008D66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Book Antiqua" w:hAnsi="Book Antiqua"/>
              </w:rPr>
            </w:pPr>
            <w:r w:rsidRPr="008F5865">
              <w:rPr>
                <w:rFonts w:ascii="Book Antiqua" w:hAnsi="Book Antiqua"/>
              </w:rPr>
              <w:t>Preparato da …………………………….                                                                         Data…………………………..</w:t>
            </w:r>
          </w:p>
          <w:p w14:paraId="232387A7" w14:textId="0B27D323" w:rsidR="008D66BC" w:rsidRDefault="008D66BC" w:rsidP="008D66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Book Antiqua" w:hAnsi="Book Antiqua"/>
              </w:rPr>
            </w:pPr>
            <w:r w:rsidRPr="008F5865">
              <w:rPr>
                <w:rFonts w:ascii="Book Antiqua" w:hAnsi="Book Antiqua"/>
              </w:rPr>
              <w:t xml:space="preserve">Preparato da……………………………..                                                                    </w:t>
            </w:r>
            <w:r>
              <w:rPr>
                <w:rFonts w:ascii="Book Antiqua" w:hAnsi="Book Antiqua"/>
              </w:rPr>
              <w:t xml:space="preserve">     </w:t>
            </w:r>
            <w:r w:rsidRPr="008F5865">
              <w:rPr>
                <w:rFonts w:ascii="Book Antiqua" w:hAnsi="Book Antiqua"/>
              </w:rPr>
              <w:t>Data…………………………..</w:t>
            </w:r>
          </w:p>
          <w:p w14:paraId="6FF8A2D4" w14:textId="77777777" w:rsidR="008D66BC" w:rsidRDefault="008D66BC" w:rsidP="008D66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Book Antiqua" w:hAnsi="Book Antiqua"/>
              </w:rPr>
            </w:pPr>
            <w:r w:rsidRPr="008F5865">
              <w:rPr>
                <w:rFonts w:ascii="Book Antiqua" w:hAnsi="Book Antiqua"/>
              </w:rPr>
              <w:t xml:space="preserve">Preparato da……………………………..                                                                    </w:t>
            </w:r>
            <w:r>
              <w:rPr>
                <w:rFonts w:ascii="Book Antiqua" w:hAnsi="Book Antiqua"/>
              </w:rPr>
              <w:t xml:space="preserve">     </w:t>
            </w:r>
            <w:r w:rsidRPr="008F5865">
              <w:rPr>
                <w:rFonts w:ascii="Book Antiqua" w:hAnsi="Book Antiqua"/>
              </w:rPr>
              <w:t>Data…………………………..</w:t>
            </w:r>
          </w:p>
          <w:p w14:paraId="13416AD8" w14:textId="308B855E" w:rsidR="008D66BC" w:rsidRDefault="008D66BC" w:rsidP="008D66BC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</w:tc>
      </w:tr>
      <w:tr w:rsidR="00AC732C" w:rsidRPr="003272B0" w14:paraId="344EF026" w14:textId="77777777" w:rsidTr="00EA5C69">
        <w:trPr>
          <w:cantSplit/>
          <w:trHeight w:val="284"/>
        </w:trPr>
        <w:tc>
          <w:tcPr>
            <w:tcW w:w="52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4D453B8B" w14:textId="77777777" w:rsidR="00A17C3E" w:rsidRDefault="00A17C3E" w:rsidP="00A17C3E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14:paraId="740A2C65" w14:textId="77777777" w:rsidR="00227EFB" w:rsidRPr="00E56E02" w:rsidRDefault="00E56E02" w:rsidP="00A17C3E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E56E02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DESCRIZIONE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55603EB" w14:textId="77777777" w:rsidR="00EA5C69" w:rsidRDefault="00EA5C69" w:rsidP="00A17C3E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14:paraId="0FE13780" w14:textId="77777777" w:rsidR="00227EFB" w:rsidRPr="00E56E02" w:rsidRDefault="00AC732C" w:rsidP="00A17C3E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E56E02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S</w:t>
            </w:r>
            <w:r w:rsidR="00A17C3E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E1AD6E8" w14:textId="77777777" w:rsidR="00EA5C69" w:rsidRDefault="00EA5C69" w:rsidP="00A17C3E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14:paraId="76B35EF7" w14:textId="77777777" w:rsidR="00227EFB" w:rsidRPr="00E56E02" w:rsidRDefault="00AC732C" w:rsidP="00A17C3E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E56E02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N</w:t>
            </w:r>
            <w:r w:rsidR="00A17C3E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A4F1E05" w14:textId="77777777" w:rsidR="00227EFB" w:rsidRDefault="00AC732C" w:rsidP="00EA5C69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E56E02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N/A</w:t>
            </w:r>
          </w:p>
          <w:p w14:paraId="268727EA" w14:textId="55B1C788" w:rsidR="00404733" w:rsidRPr="00E56E02" w:rsidRDefault="00A17C3E" w:rsidP="008D66BC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N/R</w:t>
            </w:r>
            <w:r w:rsidR="00404733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A12F508" w14:textId="699F4E2B" w:rsidR="00227EFB" w:rsidRPr="00E56E02" w:rsidRDefault="00A17C3E" w:rsidP="00A17C3E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Descrizione delle procedure svolte e delle evidenze prodotte - Commenti</w:t>
            </w:r>
          </w:p>
        </w:tc>
      </w:tr>
      <w:tr w:rsidR="00AC732C" w:rsidRPr="001818C5" w14:paraId="71ED12E2" w14:textId="77777777" w:rsidTr="00EA5C69">
        <w:trPr>
          <w:cantSplit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BD24" w14:textId="18F435E8" w:rsidR="00227EFB" w:rsidRPr="00BB6BE6" w:rsidRDefault="003A1BBF" w:rsidP="008D0A00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6BE6">
              <w:rPr>
                <w:rFonts w:ascii="Book Antiqua" w:hAnsi="Book Antiqua"/>
                <w:snapToGrid w:val="0"/>
              </w:rPr>
              <w:t>Il prospetto delle spese di rappresentanza è stato allegato al rendiconto?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E7F808" w14:textId="77777777" w:rsidR="00227EFB" w:rsidRPr="001818C5" w:rsidRDefault="00227EFB" w:rsidP="00104E8C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2F83D" w14:textId="77777777" w:rsidR="00227EFB" w:rsidRPr="001818C5" w:rsidRDefault="00227EFB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A11E0" w14:textId="77777777" w:rsidR="00227EFB" w:rsidRPr="001818C5" w:rsidRDefault="00227EFB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B6C8" w14:textId="77777777" w:rsidR="00227EFB" w:rsidRPr="001818C5" w:rsidRDefault="00227EFB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802D40" w:rsidRPr="003B08CF" w14:paraId="3AFA98BA" w14:textId="77777777" w:rsidTr="008D0A00">
        <w:trPr>
          <w:trHeight w:val="308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FA6E99" w14:textId="77DEFA64" w:rsidR="00802D40" w:rsidRPr="00BB6BE6" w:rsidRDefault="003A1BBF" w:rsidP="008D0A00">
            <w:pPr>
              <w:jc w:val="both"/>
              <w:rPr>
                <w:rFonts w:ascii="Book Antiqua" w:hAnsi="Book Antiqua"/>
                <w:snapToGrid w:val="0"/>
              </w:rPr>
            </w:pPr>
            <w:r w:rsidRPr="00BB6BE6">
              <w:rPr>
                <w:rFonts w:ascii="Book Antiqua" w:hAnsi="Book Antiqua"/>
                <w:snapToGrid w:val="0"/>
              </w:rPr>
              <w:t>Il prospetto delle spese di rappresentanza è conforme al modello DM 23 gennaio 2012?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71BF38" w14:textId="77777777" w:rsidR="00802D40" w:rsidRPr="003B08CF" w:rsidRDefault="00802D40" w:rsidP="006C645B">
            <w:pPr>
              <w:widowControl w:val="0"/>
              <w:rPr>
                <w:rFonts w:ascii="Arial" w:hAnsi="Arial"/>
                <w:strike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C1A6CE" w14:textId="77777777" w:rsidR="00802D40" w:rsidRPr="003B08CF" w:rsidRDefault="00802D40" w:rsidP="006C645B">
            <w:pPr>
              <w:widowControl w:val="0"/>
              <w:jc w:val="center"/>
              <w:rPr>
                <w:rFonts w:ascii="Arial" w:hAnsi="Arial"/>
                <w:strike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28F00D" w14:textId="77777777" w:rsidR="00802D40" w:rsidRPr="003B08CF" w:rsidRDefault="00802D40" w:rsidP="006C645B">
            <w:pPr>
              <w:widowControl w:val="0"/>
              <w:jc w:val="center"/>
              <w:rPr>
                <w:rFonts w:ascii="Arial" w:hAnsi="Arial"/>
                <w:strike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8DD393" w14:textId="77777777" w:rsidR="00802D40" w:rsidRPr="003B08CF" w:rsidRDefault="00802D40" w:rsidP="006C645B">
            <w:pPr>
              <w:widowControl w:val="0"/>
              <w:jc w:val="center"/>
              <w:rPr>
                <w:rFonts w:ascii="Arial" w:hAnsi="Arial"/>
                <w:strike/>
                <w:snapToGrid w:val="0"/>
              </w:rPr>
            </w:pPr>
          </w:p>
        </w:tc>
      </w:tr>
      <w:tr w:rsidR="00AC732C" w14:paraId="3B6E1B30" w14:textId="77777777" w:rsidTr="00EA5C69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1E7D2" w14:textId="4038CCBC" w:rsidR="00CB1E36" w:rsidRPr="00BB6BE6" w:rsidRDefault="003A1BBF" w:rsidP="009063E3">
            <w:pPr>
              <w:jc w:val="both"/>
              <w:rPr>
                <w:rFonts w:ascii="Book Antiqua" w:hAnsi="Book Antiqua"/>
                <w:snapToGrid w:val="0"/>
              </w:rPr>
            </w:pPr>
            <w:r w:rsidRPr="00BB6BE6">
              <w:rPr>
                <w:rFonts w:ascii="Book Antiqua" w:hAnsi="Book Antiqua"/>
                <w:snapToGrid w:val="0"/>
              </w:rPr>
              <w:t>Il prospetto è firmato dal Segretario, dal Responsabile del servizio finanziario e dall'Organo di revisione?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72B5F" w14:textId="77777777" w:rsidR="00227EFB" w:rsidRDefault="00227EFB" w:rsidP="00104E8C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AB50" w14:textId="77777777" w:rsidR="00227EFB" w:rsidRDefault="00227EFB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E0B2" w14:textId="77777777" w:rsidR="00227EFB" w:rsidRDefault="00227EFB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F531" w14:textId="77777777" w:rsidR="00227EFB" w:rsidRDefault="00227EFB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EF2114" w:rsidRPr="00EF2114" w14:paraId="0905A216" w14:textId="77777777" w:rsidTr="00F23B17">
        <w:trPr>
          <w:trHeight w:val="508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D7BC" w14:textId="77777777" w:rsidR="00EF2114" w:rsidRPr="00BB6BE6" w:rsidRDefault="003A1BBF" w:rsidP="008D0A00">
            <w:pPr>
              <w:spacing w:before="100" w:beforeAutospacing="1" w:after="100" w:afterAutospacing="1"/>
              <w:jc w:val="both"/>
              <w:rPr>
                <w:rFonts w:ascii="Book Antiqua" w:hAnsi="Book Antiqua"/>
                <w:snapToGrid w:val="0"/>
              </w:rPr>
            </w:pPr>
            <w:r w:rsidRPr="00BB6BE6">
              <w:rPr>
                <w:rFonts w:ascii="Book Antiqua" w:hAnsi="Book Antiqua"/>
                <w:snapToGrid w:val="0"/>
              </w:rPr>
              <w:t xml:space="preserve">Le spese di rappresentanza rispettano i principi ed i criteri generali elaborati dalla giurisprudenza contabile?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1EBDE" w14:textId="77777777" w:rsidR="00EF2114" w:rsidRPr="00EF2114" w:rsidRDefault="00EF2114" w:rsidP="00EF2114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24956" w14:textId="77777777" w:rsidR="00EF2114" w:rsidRPr="00EF2114" w:rsidRDefault="00EF2114" w:rsidP="00EF2114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45018" w14:textId="77777777" w:rsidR="00EF2114" w:rsidRPr="00EF2114" w:rsidRDefault="00EF2114" w:rsidP="00EF2114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9032" w14:textId="77777777" w:rsidR="00EF2114" w:rsidRPr="00EF2114" w:rsidRDefault="00EF2114" w:rsidP="00EF2114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</w:tr>
      <w:tr w:rsidR="00E53BC5" w:rsidRPr="00EF2114" w14:paraId="2D483DE7" w14:textId="77777777" w:rsidTr="009063E3">
        <w:trPr>
          <w:trHeight w:val="43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7EA41" w14:textId="1BCA1027" w:rsidR="00E53BC5" w:rsidRPr="00BB6BE6" w:rsidRDefault="003A1BBF" w:rsidP="008D0A00">
            <w:pPr>
              <w:spacing w:before="100" w:beforeAutospacing="1" w:after="100" w:afterAutospacing="1"/>
              <w:jc w:val="both"/>
              <w:rPr>
                <w:rFonts w:ascii="Book Antiqua" w:hAnsi="Book Antiqua"/>
                <w:snapToGrid w:val="0"/>
              </w:rPr>
            </w:pPr>
            <w:r w:rsidRPr="00BB6BE6">
              <w:rPr>
                <w:rFonts w:ascii="Book Antiqua" w:hAnsi="Book Antiqua"/>
                <w:snapToGrid w:val="0"/>
              </w:rPr>
              <w:t>Il prospetto è stato pubblicato sul sito web dell'ente entro 10 giorni dall'approvazione del rendiconto?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2854B" w14:textId="77777777" w:rsidR="00E53BC5" w:rsidRPr="00EF2114" w:rsidRDefault="00E53BC5" w:rsidP="00EF2114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08B99" w14:textId="77777777" w:rsidR="00E53BC5" w:rsidRPr="00EF2114" w:rsidRDefault="00E53BC5" w:rsidP="00EF2114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86870" w14:textId="77777777" w:rsidR="00E53BC5" w:rsidRPr="00EF2114" w:rsidRDefault="00E53BC5" w:rsidP="00EF2114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7444" w14:textId="77777777" w:rsidR="00E53BC5" w:rsidRPr="00EF2114" w:rsidRDefault="00E53BC5" w:rsidP="00EF2114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</w:tr>
      <w:tr w:rsidR="008D0A00" w:rsidRPr="00EF2114" w14:paraId="2DCBCD60" w14:textId="77777777" w:rsidTr="008D0A00">
        <w:trPr>
          <w:trHeight w:val="598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BA1A8" w14:textId="2622B5F4" w:rsidR="008D0A00" w:rsidRPr="00BB6BE6" w:rsidRDefault="003A1BBF" w:rsidP="003A1BBF">
            <w:pPr>
              <w:spacing w:before="100" w:beforeAutospacing="1" w:after="100" w:afterAutospacing="1"/>
              <w:jc w:val="both"/>
              <w:rPr>
                <w:rFonts w:ascii="Book Antiqua" w:hAnsi="Book Antiqua"/>
                <w:snapToGrid w:val="0"/>
              </w:rPr>
            </w:pPr>
            <w:r w:rsidRPr="00BB6BE6">
              <w:rPr>
                <w:rFonts w:ascii="Book Antiqua" w:hAnsi="Book Antiqua"/>
                <w:snapToGrid w:val="0"/>
              </w:rPr>
              <w:t xml:space="preserve">Il prospetto è stato trasmesso alla Corte dei </w:t>
            </w:r>
            <w:r w:rsidR="0015092D">
              <w:rPr>
                <w:rFonts w:ascii="Book Antiqua" w:hAnsi="Book Antiqua"/>
                <w:snapToGrid w:val="0"/>
              </w:rPr>
              <w:t>C</w:t>
            </w:r>
            <w:r w:rsidRPr="00BB6BE6">
              <w:rPr>
                <w:rFonts w:ascii="Book Antiqua" w:hAnsi="Book Antiqua"/>
                <w:snapToGrid w:val="0"/>
              </w:rPr>
              <w:t>onti entro 10 giorni dall'approvazione del rendiconto?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58298" w14:textId="77777777" w:rsidR="008D0A00" w:rsidRPr="00EF2114" w:rsidRDefault="008D0A00" w:rsidP="00EF2114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F5E2" w14:textId="77777777" w:rsidR="008D0A00" w:rsidRPr="00EF2114" w:rsidRDefault="008D0A00" w:rsidP="00EF2114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8B1E7" w14:textId="77777777" w:rsidR="008D0A00" w:rsidRPr="00EF2114" w:rsidRDefault="008D0A00" w:rsidP="00EF2114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9361" w14:textId="77777777" w:rsidR="008D0A00" w:rsidRPr="00EF2114" w:rsidRDefault="008D0A00" w:rsidP="00EF2114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</w:tr>
      <w:tr w:rsidR="008D0A00" w:rsidRPr="00EF2114" w14:paraId="502B66A9" w14:textId="77777777" w:rsidTr="003A1BBF">
        <w:trPr>
          <w:trHeight w:val="43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2AD3E" w14:textId="1CAB105C" w:rsidR="008D0A00" w:rsidRPr="00BB6BE6" w:rsidRDefault="003A1BBF" w:rsidP="008D0A00">
            <w:pPr>
              <w:spacing w:before="100" w:beforeAutospacing="1" w:after="100" w:afterAutospacing="1"/>
              <w:jc w:val="both"/>
              <w:rPr>
                <w:rFonts w:ascii="Book Antiqua" w:hAnsi="Book Antiqua"/>
                <w:snapToGrid w:val="0"/>
              </w:rPr>
            </w:pPr>
            <w:r w:rsidRPr="00BB6BE6">
              <w:rPr>
                <w:rFonts w:ascii="Book Antiqua" w:hAnsi="Book Antiqua"/>
                <w:snapToGrid w:val="0"/>
              </w:rPr>
              <w:t>L'ente ha adottato apposito regolamento (non obbligatorio)?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D2DC4" w14:textId="77777777" w:rsidR="008D0A00" w:rsidRPr="00EF2114" w:rsidRDefault="008D0A00" w:rsidP="00EF2114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96FE" w14:textId="77777777" w:rsidR="008D0A00" w:rsidRPr="00EF2114" w:rsidRDefault="008D0A00" w:rsidP="00EF2114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A3922" w14:textId="77777777" w:rsidR="008D0A00" w:rsidRPr="00EF2114" w:rsidRDefault="008D0A00" w:rsidP="00EF2114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A34C" w14:textId="77777777" w:rsidR="008D0A00" w:rsidRPr="00EF2114" w:rsidRDefault="008D0A00" w:rsidP="00EF2114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</w:tr>
    </w:tbl>
    <w:p w14:paraId="2C0E493F" w14:textId="77777777" w:rsidR="00EA5C69" w:rsidRDefault="00EA5C69"/>
    <w:tbl>
      <w:tblPr>
        <w:tblW w:w="10349" w:type="dxa"/>
        <w:tblInd w:w="-37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246"/>
        <w:gridCol w:w="5103"/>
      </w:tblGrid>
      <w:tr w:rsidR="008230A8" w:rsidRPr="00F97FDB" w14:paraId="5BEDD9B0" w14:textId="77777777" w:rsidTr="008D66BC">
        <w:trPr>
          <w:cantSplit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C649" w14:textId="77777777" w:rsidR="008230A8" w:rsidRPr="00F97FDB" w:rsidRDefault="008230A8" w:rsidP="0011547F">
            <w:pPr>
              <w:widowControl w:val="0"/>
              <w:rPr>
                <w:rFonts w:ascii="Book Antiqua" w:hAnsi="Book Antiqua"/>
                <w:b/>
                <w:snapToGrid w:val="0"/>
                <w:color w:val="FF0000"/>
              </w:rPr>
            </w:pPr>
            <w:r>
              <w:rPr>
                <w:rFonts w:ascii="Book Antiqua" w:hAnsi="Book Antiqua"/>
                <w:b/>
                <w:snapToGrid w:val="0"/>
                <w:color w:val="FF0000"/>
              </w:rPr>
              <w:t>LEGENDA: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9EFB489" w14:textId="77777777" w:rsidR="008230A8" w:rsidRPr="00F97FDB" w:rsidRDefault="008230A8" w:rsidP="0011547F">
            <w:pPr>
              <w:widowControl w:val="0"/>
              <w:rPr>
                <w:rFonts w:ascii="Book Antiqua" w:hAnsi="Book Antiqua"/>
                <w:b/>
                <w:snapToGrid w:val="0"/>
                <w:color w:val="FF0000"/>
              </w:rPr>
            </w:pPr>
          </w:p>
        </w:tc>
      </w:tr>
      <w:tr w:rsidR="008D66BC" w:rsidRPr="00F97FDB" w14:paraId="69D5DDF2" w14:textId="77777777" w:rsidTr="008D66BC">
        <w:trPr>
          <w:cantSplit/>
          <w:trHeight w:val="2745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7BAF17" w14:textId="77777777" w:rsidR="008D66BC" w:rsidRPr="00121841" w:rsidRDefault="008D66BC" w:rsidP="008D66BC">
            <w:pPr>
              <w:widowControl w:val="0"/>
              <w:jc w:val="both"/>
              <w:rPr>
                <w:rFonts w:ascii="Book Antiqua" w:hAnsi="Book Antiqua"/>
                <w:b/>
                <w:snapToGrid w:val="0"/>
                <w:color w:val="FF0000"/>
              </w:rPr>
            </w:pPr>
            <w:r w:rsidRPr="00121841">
              <w:rPr>
                <w:rFonts w:ascii="Book Antiqua" w:hAnsi="Book Antiqua"/>
                <w:b/>
                <w:snapToGrid w:val="0"/>
                <w:color w:val="FF0000"/>
              </w:rPr>
              <w:t>In caso di risposta negativa:</w:t>
            </w:r>
          </w:p>
          <w:p w14:paraId="76F8EBB4" w14:textId="77777777" w:rsidR="008D66BC" w:rsidRDefault="008D66BC" w:rsidP="008D66BC">
            <w:pPr>
              <w:widowControl w:val="0"/>
              <w:jc w:val="both"/>
              <w:rPr>
                <w:rFonts w:ascii="Book Antiqua" w:hAnsi="Book Antiqua"/>
                <w:b/>
                <w:snapToGrid w:val="0"/>
                <w:color w:val="FF0000"/>
              </w:rPr>
            </w:pPr>
            <w:r w:rsidRPr="00121841">
              <w:rPr>
                <w:rFonts w:ascii="Book Antiqua" w:hAnsi="Book Antiqua"/>
                <w:b/>
                <w:snapToGrid w:val="0"/>
                <w:color w:val="FF0000"/>
              </w:rPr>
              <w:t>l’organo di revisione deve sviluppare un’adeguata azione di risposta a seconda della fattispecie (segnalazione, denuncia, verifiche ulteriori, ecc.)</w:t>
            </w:r>
          </w:p>
          <w:p w14:paraId="46775D63" w14:textId="77777777" w:rsidR="008D66BC" w:rsidRPr="00121841" w:rsidRDefault="008D66BC" w:rsidP="008D66BC">
            <w:pPr>
              <w:widowControl w:val="0"/>
              <w:jc w:val="both"/>
              <w:rPr>
                <w:rFonts w:ascii="Book Antiqua" w:hAnsi="Book Antiqua"/>
                <w:b/>
                <w:snapToGrid w:val="0"/>
                <w:color w:val="FF0000"/>
              </w:rPr>
            </w:pPr>
          </w:p>
          <w:p w14:paraId="6C4688B0" w14:textId="77777777" w:rsidR="008D66BC" w:rsidRPr="00B16AD9" w:rsidRDefault="008D66BC" w:rsidP="008D66BC">
            <w:pPr>
              <w:widowControl w:val="0"/>
              <w:jc w:val="both"/>
              <w:rPr>
                <w:rFonts w:ascii="Book Antiqua" w:hAnsi="Book Antiqua"/>
                <w:b/>
                <w:snapToGrid w:val="0"/>
                <w:color w:val="FF0000"/>
              </w:rPr>
            </w:pPr>
            <w:r w:rsidRPr="00B16AD9">
              <w:rPr>
                <w:rFonts w:ascii="Book Antiqua" w:hAnsi="Book Antiqua"/>
                <w:b/>
                <w:snapToGrid w:val="0"/>
                <w:color w:val="FF0000"/>
              </w:rPr>
              <w:t>N/A – Fattispecie non applicabile</w:t>
            </w:r>
          </w:p>
          <w:p w14:paraId="5C612743" w14:textId="77777777" w:rsidR="008D66BC" w:rsidRDefault="008D66BC" w:rsidP="008D66BC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16AD9">
              <w:rPr>
                <w:rFonts w:ascii="Book Antiqua" w:hAnsi="Book Antiqua"/>
                <w:snapToGrid w:val="0"/>
              </w:rPr>
              <w:t>N/A: tale opzione indica che nel corso della specifica verifica il controllo proposto nella checklist non viene svolto in quanto non previsto nella pianificazione svolta dall’organo di revisione. I</w:t>
            </w:r>
            <w:r>
              <w:rPr>
                <w:rFonts w:ascii="Book Antiqua" w:hAnsi="Book Antiqua"/>
                <w:snapToGrid w:val="0"/>
              </w:rPr>
              <w:t>l</w:t>
            </w:r>
            <w:r w:rsidRPr="00B16AD9">
              <w:rPr>
                <w:rFonts w:ascii="Book Antiqua" w:hAnsi="Book Antiqua"/>
                <w:snapToGrid w:val="0"/>
              </w:rPr>
              <w:t xml:space="preserve"> controllo, ad esempio, potrebbe essere stato svolto nel corso di altra verifica o il rischio collegato essere stato valutato basso per cui l’organo di revisione ritiene di </w:t>
            </w:r>
            <w:r>
              <w:rPr>
                <w:rFonts w:ascii="Book Antiqua" w:hAnsi="Book Antiqua"/>
                <w:snapToGrid w:val="0"/>
              </w:rPr>
              <w:t xml:space="preserve">non </w:t>
            </w:r>
            <w:r w:rsidRPr="00B16AD9">
              <w:rPr>
                <w:rFonts w:ascii="Book Antiqua" w:hAnsi="Book Antiqua"/>
                <w:snapToGrid w:val="0"/>
              </w:rPr>
              <w:t>svolgere il controllo proposto nella specifica circostanza.</w:t>
            </w:r>
          </w:p>
          <w:p w14:paraId="3699637E" w14:textId="77777777" w:rsidR="008D66BC" w:rsidRDefault="008D66BC" w:rsidP="008D66BC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07ABEDFE" w14:textId="162C2523" w:rsidR="008D66BC" w:rsidRPr="00F97FDB" w:rsidRDefault="008D66BC" w:rsidP="008D66BC">
            <w:pPr>
              <w:widowControl w:val="0"/>
              <w:jc w:val="both"/>
              <w:rPr>
                <w:rFonts w:ascii="Book Antiqua" w:hAnsi="Book Antiqua"/>
                <w:b/>
                <w:snapToGrid w:val="0"/>
                <w:color w:val="FF0000"/>
              </w:rPr>
            </w:pPr>
            <w:r w:rsidRPr="00121841">
              <w:rPr>
                <w:rFonts w:ascii="Book Antiqua" w:hAnsi="Book Antiqua"/>
                <w:b/>
                <w:snapToGrid w:val="0"/>
                <w:color w:val="FF0000"/>
              </w:rPr>
              <w:t>N/R – Non ricorre la fattispecie</w:t>
            </w:r>
          </w:p>
        </w:tc>
      </w:tr>
    </w:tbl>
    <w:p w14:paraId="185C546D" w14:textId="77777777" w:rsidR="008230A8" w:rsidRDefault="008230A8"/>
    <w:tbl>
      <w:tblPr>
        <w:tblW w:w="10349" w:type="dxa"/>
        <w:tblInd w:w="-37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246"/>
        <w:gridCol w:w="5103"/>
      </w:tblGrid>
      <w:tr w:rsidR="00EA5C69" w:rsidRPr="00574869" w14:paraId="7D241D19" w14:textId="77777777" w:rsidTr="00514CB5">
        <w:trPr>
          <w:cantSplit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1F95FE" w14:textId="77777777" w:rsidR="00EA5C69" w:rsidRDefault="00EA5C69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>CONCLUSIONI PER L’AREA:</w:t>
            </w:r>
          </w:p>
          <w:p w14:paraId="3BC9F42F" w14:textId="2A39EB0C" w:rsidR="00EA5C69" w:rsidRPr="00ED383F" w:rsidRDefault="00EA5C69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>(considerazioni conclusive a valle della comprensione di c</w:t>
            </w:r>
            <w:r w:rsidR="003A10EA">
              <w:rPr>
                <w:rFonts w:ascii="Book Antiqua" w:hAnsi="Book Antiqua"/>
                <w:b/>
                <w:snapToGrid w:val="0"/>
              </w:rPr>
              <w:t>u</w:t>
            </w:r>
            <w:r>
              <w:rPr>
                <w:rFonts w:ascii="Book Antiqua" w:hAnsi="Book Antiqua"/>
                <w:b/>
                <w:snapToGrid w:val="0"/>
              </w:rPr>
              <w:t>i sopra)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DA990C8" w14:textId="77777777" w:rsidR="00EA5C69" w:rsidRPr="00574869" w:rsidRDefault="00EA5C69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EA5C69" w:rsidRPr="00574869" w14:paraId="7811514B" w14:textId="77777777" w:rsidTr="00514CB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7D3D1E" w14:textId="77777777" w:rsidR="00EA5C69" w:rsidRPr="00ED383F" w:rsidRDefault="00EA5C69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89E9D9C" w14:textId="77777777" w:rsidR="00EA5C69" w:rsidRPr="00574869" w:rsidRDefault="00EA5C69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EA5C69" w:rsidRPr="00574869" w14:paraId="415DD43B" w14:textId="77777777" w:rsidTr="00514CB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68B28A" w14:textId="77777777" w:rsidR="00EA5C69" w:rsidRPr="00ED383F" w:rsidRDefault="00EA5C69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A96418F" w14:textId="77777777" w:rsidR="00EA5C69" w:rsidRPr="00574869" w:rsidRDefault="00EA5C69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14CB5" w:rsidRPr="00574869" w14:paraId="7A6F7123" w14:textId="77777777" w:rsidTr="00514CB5">
        <w:trPr>
          <w:cantSplit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A3A7A3" w14:textId="77777777" w:rsidR="00514CB5" w:rsidRDefault="00514CB5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>RISPOSTA  DI REVISIONE:</w:t>
            </w:r>
          </w:p>
          <w:p w14:paraId="6C62E7A3" w14:textId="77777777" w:rsidR="00514CB5" w:rsidRPr="00ED383F" w:rsidRDefault="00514CB5" w:rsidP="00514CB5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>(procedure di revisione aggiuntive da dettagliare in fase di esecuzione della strategia di dettaglio)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95D46BC" w14:textId="77777777" w:rsidR="00514CB5" w:rsidRPr="00574869" w:rsidRDefault="00514CB5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14CB5" w:rsidRPr="00574869" w14:paraId="26080FEB" w14:textId="77777777" w:rsidTr="00514CB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543990" w14:textId="77777777" w:rsidR="00514CB5" w:rsidRPr="00ED383F" w:rsidRDefault="00514CB5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A3107E0" w14:textId="77777777" w:rsidR="00514CB5" w:rsidRPr="00574869" w:rsidRDefault="00514CB5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14CB5" w:rsidRPr="00574869" w14:paraId="3B447839" w14:textId="77777777" w:rsidTr="00514CB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57614C" w14:textId="77777777" w:rsidR="00514CB5" w:rsidRPr="00ED383F" w:rsidRDefault="00514CB5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93C598F" w14:textId="77777777" w:rsidR="00514CB5" w:rsidRPr="00574869" w:rsidRDefault="00514CB5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14CB5" w:rsidRPr="00574869" w14:paraId="02073899" w14:textId="77777777" w:rsidTr="00514CB5">
        <w:trPr>
          <w:cantSplit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C5022A" w14:textId="77777777" w:rsidR="00514CB5" w:rsidRPr="00ED383F" w:rsidRDefault="00514CB5" w:rsidP="00514CB5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>RISCHI SULL’AREA: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CF0EED5" w14:textId="77777777" w:rsidR="00514CB5" w:rsidRPr="00574869" w:rsidRDefault="00514CB5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14CB5" w:rsidRPr="00574869" w14:paraId="024E439B" w14:textId="77777777" w:rsidTr="00514CB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13098A" w14:textId="77777777" w:rsidR="00514CB5" w:rsidRPr="00ED383F" w:rsidRDefault="00514CB5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761E9AB" w14:textId="77777777" w:rsidR="00514CB5" w:rsidRPr="00574869" w:rsidRDefault="00514CB5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14CB5" w:rsidRPr="00574869" w14:paraId="436B5090" w14:textId="77777777" w:rsidTr="00514CB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8435CD" w14:textId="77777777" w:rsidR="00514CB5" w:rsidRPr="00ED383F" w:rsidRDefault="00514CB5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E10BE8F" w14:textId="77777777" w:rsidR="00514CB5" w:rsidRPr="00574869" w:rsidRDefault="00514CB5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</w:tbl>
    <w:p w14:paraId="6966106D" w14:textId="5F600751" w:rsidR="00C9567A" w:rsidRDefault="008D66BC" w:rsidP="003A1BBF">
      <w:pPr>
        <w:spacing w:after="200" w:line="276" w:lineRule="auto"/>
        <w:jc w:val="center"/>
        <w:rPr>
          <w:rFonts w:ascii="Book Antiqua" w:hAnsi="Book Antiqua"/>
          <w:b/>
          <w:snapToGrid w:val="0"/>
        </w:rPr>
      </w:pPr>
      <w:r>
        <w:rPr>
          <w:rFonts w:ascii="Book Antiqua" w:hAnsi="Book Antiqua"/>
          <w:b/>
          <w:snapToGrid w:val="0"/>
        </w:rPr>
        <w:lastRenderedPageBreak/>
        <w:t>F</w:t>
      </w:r>
      <w:r w:rsidR="004A663E" w:rsidRPr="00F23B17">
        <w:rPr>
          <w:rFonts w:ascii="Book Antiqua" w:hAnsi="Book Antiqua"/>
          <w:b/>
          <w:snapToGrid w:val="0"/>
        </w:rPr>
        <w:t>onte Normativa:</w:t>
      </w:r>
    </w:p>
    <w:p w14:paraId="0B91280D" w14:textId="77777777" w:rsidR="003A1BBF" w:rsidRPr="003A1BBF" w:rsidRDefault="003A1BBF" w:rsidP="003A1BBF">
      <w:pPr>
        <w:spacing w:after="200" w:line="276" w:lineRule="auto"/>
        <w:jc w:val="center"/>
        <w:rPr>
          <w:rFonts w:ascii="Book Antiqua" w:hAnsi="Book Antiqua"/>
          <w:b/>
          <w:snapToGrid w:val="0"/>
          <w:lang w:val="en-US"/>
        </w:rPr>
      </w:pPr>
      <w:r w:rsidRPr="003A1BBF">
        <w:rPr>
          <w:rFonts w:ascii="Book Antiqua" w:hAnsi="Book Antiqua"/>
          <w:b/>
          <w:snapToGrid w:val="0"/>
          <w:lang w:val="en-US"/>
        </w:rPr>
        <w:t>Art.16, comma 26, D.L.</w:t>
      </w:r>
      <w:r>
        <w:rPr>
          <w:rFonts w:ascii="Book Antiqua" w:hAnsi="Book Antiqua"/>
          <w:b/>
          <w:snapToGrid w:val="0"/>
          <w:lang w:val="en-US"/>
        </w:rPr>
        <w:t xml:space="preserve"> </w:t>
      </w:r>
      <w:r w:rsidRPr="003A1BBF">
        <w:rPr>
          <w:rFonts w:ascii="Book Antiqua" w:hAnsi="Book Antiqua"/>
          <w:b/>
          <w:snapToGrid w:val="0"/>
          <w:lang w:val="en-US"/>
        </w:rPr>
        <w:t>n.138/2011</w:t>
      </w:r>
    </w:p>
    <w:tbl>
      <w:tblPr>
        <w:tblW w:w="9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0"/>
      </w:tblGrid>
      <w:tr w:rsidR="00F23B17" w:rsidRPr="00F23B17" w14:paraId="1702E322" w14:textId="77777777" w:rsidTr="00062780">
        <w:trPr>
          <w:trHeight w:val="705"/>
        </w:trPr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3743" w14:textId="77777777" w:rsidR="00062780" w:rsidRPr="00062780" w:rsidRDefault="00062780" w:rsidP="000627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Book Antiqua" w:hAnsi="Book Antiqua"/>
                <w:b/>
                <w:snapToGrid w:val="0"/>
              </w:rPr>
            </w:pPr>
            <w:r w:rsidRPr="00062780">
              <w:rPr>
                <w:rFonts w:ascii="Book Antiqua" w:hAnsi="Book Antiqua"/>
                <w:b/>
                <w:snapToGrid w:val="0"/>
              </w:rPr>
              <w:t>Le spese di rappresentanza sostenute dagli  organi  di  governo  degli enti locali sono elencate, per ciascun anno, in apposito prospetto  allegato al rendiconto di cui all'</w:t>
            </w:r>
            <w:hyperlink r:id="rId8" w:history="1">
              <w:r w:rsidRPr="00062780">
                <w:rPr>
                  <w:rFonts w:ascii="Book Antiqua" w:hAnsi="Book Antiqua"/>
                  <w:b/>
                  <w:snapToGrid w:val="0"/>
                </w:rPr>
                <w:t>articolo 227 del  citato  testo  unico  di  cui  al decreto legislativo n. 267 del 2000</w:t>
              </w:r>
            </w:hyperlink>
            <w:r w:rsidRPr="00062780">
              <w:rPr>
                <w:rFonts w:ascii="Book Antiqua" w:hAnsi="Book Antiqua"/>
                <w:b/>
                <w:snapToGrid w:val="0"/>
              </w:rPr>
              <w:t>. Tale prospetto è trasmesso alla sezione regionale di controllo della Corte dei conti ed è  pubblicato,  entro  dieci</w:t>
            </w:r>
            <w:r>
              <w:rPr>
                <w:rFonts w:ascii="Book Antiqua" w:hAnsi="Book Antiqua"/>
                <w:b/>
                <w:snapToGrid w:val="0"/>
              </w:rPr>
              <w:t xml:space="preserve"> </w:t>
            </w:r>
            <w:r w:rsidRPr="00062780">
              <w:rPr>
                <w:rFonts w:ascii="Book Antiqua" w:hAnsi="Book Antiqua"/>
                <w:b/>
                <w:snapToGrid w:val="0"/>
              </w:rPr>
              <w:t>giorni dall'approvazione del rendiconto, nel sito internet dell'ente locale. Con atto di natura non regolamentare, adottato d'intesa  con  la  Conferenza Stato-città ed  autonomie  locali  ai  sensi  dell'articolo  3  del  decreto legislativo 28 agosto 1997, n. 281, il Ministro  dell'interno,  di  concerto con il Ministro dell'economia e delle finanze, entro  novanta  giorni  dalla data di entrata in vigore del presente decreto, adotta uno schema  tipo  del prospetto di cui al primo periodo.</w:t>
            </w:r>
            <w:bookmarkStart w:id="0" w:name="ref-354627-13"/>
            <w:r w:rsidR="00A522CA" w:rsidRPr="00062780">
              <w:rPr>
                <w:rFonts w:ascii="Book Antiqua" w:hAnsi="Book Antiqua"/>
                <w:b/>
                <w:snapToGrid w:val="0"/>
              </w:rPr>
              <w:fldChar w:fldCharType="begin"/>
            </w:r>
            <w:r w:rsidRPr="00062780">
              <w:rPr>
                <w:rFonts w:ascii="Book Antiqua" w:hAnsi="Book Antiqua"/>
                <w:b/>
                <w:snapToGrid w:val="0"/>
              </w:rPr>
              <w:instrText xml:space="preserve"> HYPERLINK "http://home.ilfisco.it/perl/fol-new.pl?log-ssckey=81730e6b989f8ad99129b4a138773fd4-209;log-ckey=%2412053988;cmd-doc=499299+" \l "note-354627-13" </w:instrText>
            </w:r>
            <w:r w:rsidR="00A522CA" w:rsidRPr="00062780">
              <w:rPr>
                <w:rFonts w:ascii="Book Antiqua" w:hAnsi="Book Antiqua"/>
                <w:b/>
                <w:snapToGrid w:val="0"/>
              </w:rPr>
              <w:fldChar w:fldCharType="separate"/>
            </w:r>
            <w:r w:rsidRPr="00062780">
              <w:rPr>
                <w:rFonts w:ascii="Book Antiqua" w:hAnsi="Book Antiqua"/>
                <w:b/>
                <w:snapToGrid w:val="0"/>
              </w:rPr>
              <w:t>(1)</w:t>
            </w:r>
            <w:r w:rsidR="00A522CA" w:rsidRPr="00062780">
              <w:rPr>
                <w:rFonts w:ascii="Book Antiqua" w:hAnsi="Book Antiqua"/>
                <w:b/>
                <w:snapToGrid w:val="0"/>
              </w:rPr>
              <w:fldChar w:fldCharType="end"/>
            </w:r>
            <w:bookmarkEnd w:id="0"/>
          </w:p>
          <w:p w14:paraId="34E6FC8D" w14:textId="77777777" w:rsidR="003116A5" w:rsidRDefault="003116A5" w:rsidP="00062780">
            <w:pPr>
              <w:jc w:val="both"/>
              <w:rPr>
                <w:rFonts w:ascii="Book Antiqua" w:hAnsi="Book Antiqua"/>
                <w:b/>
                <w:snapToGrid w:val="0"/>
              </w:rPr>
            </w:pPr>
          </w:p>
          <w:p w14:paraId="1C7386B1" w14:textId="77777777" w:rsidR="00062780" w:rsidRPr="00F23B17" w:rsidRDefault="00062780" w:rsidP="00062780">
            <w:pPr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</w:tr>
    </w:tbl>
    <w:p w14:paraId="64D056FB" w14:textId="77777777" w:rsidR="00062780" w:rsidRDefault="00062780" w:rsidP="00062780">
      <w:pPr>
        <w:pStyle w:val="Paragrafoelenco"/>
        <w:numPr>
          <w:ilvl w:val="0"/>
          <w:numId w:val="2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ascii="Book Antiqua" w:hAnsi="Book Antiqua"/>
          <w:b/>
          <w:snapToGrid w:val="0"/>
        </w:rPr>
      </w:pPr>
      <w:r w:rsidRPr="00062780">
        <w:rPr>
          <w:rFonts w:ascii="Book Antiqua" w:hAnsi="Book Antiqua"/>
          <w:b/>
          <w:snapToGrid w:val="0"/>
        </w:rPr>
        <w:t xml:space="preserve">In attuazione di quanto disposto dal presente comma vedi il  </w:t>
      </w:r>
      <w:hyperlink r:id="rId9" w:history="1">
        <w:r w:rsidRPr="00062780">
          <w:rPr>
            <w:rFonts w:ascii="Book Antiqua" w:hAnsi="Book Antiqua"/>
            <w:b/>
            <w:snapToGrid w:val="0"/>
          </w:rPr>
          <w:t>D.M.  15     febbraio 2012, n. 23</w:t>
        </w:r>
      </w:hyperlink>
      <w:r w:rsidRPr="00062780">
        <w:rPr>
          <w:rFonts w:ascii="Book Antiqua" w:hAnsi="Book Antiqua"/>
          <w:b/>
          <w:snapToGrid w:val="0"/>
        </w:rPr>
        <w:t>.</w:t>
      </w:r>
    </w:p>
    <w:p w14:paraId="27A5CDE7" w14:textId="77777777" w:rsidR="00062780" w:rsidRDefault="00062780" w:rsidP="00062780">
      <w:pPr>
        <w:shd w:val="clear" w:color="auto" w:fill="FFFFFF"/>
        <w:rPr>
          <w:rFonts w:ascii="Book Antiqua" w:hAnsi="Book Antiqua"/>
          <w:b/>
          <w:snapToGrid w:val="0"/>
        </w:rPr>
      </w:pPr>
    </w:p>
    <w:p w14:paraId="1ED8CDEB" w14:textId="77777777" w:rsidR="00302B9C" w:rsidRDefault="00302B9C" w:rsidP="00302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Book Antiqua" w:hAnsi="Book Antiqua"/>
          <w:b/>
          <w:snapToGrid w:val="0"/>
        </w:rPr>
      </w:pPr>
      <w:r w:rsidRPr="00302B9C">
        <w:rPr>
          <w:rFonts w:ascii="Book Antiqua" w:hAnsi="Book Antiqua"/>
          <w:b/>
          <w:snapToGrid w:val="0"/>
        </w:rPr>
        <w:t>Art</w:t>
      </w:r>
      <w:r>
        <w:rPr>
          <w:rFonts w:ascii="Book Antiqua" w:hAnsi="Book Antiqua"/>
          <w:b/>
          <w:snapToGrid w:val="0"/>
        </w:rPr>
        <w:t>.</w:t>
      </w:r>
      <w:r w:rsidRPr="00302B9C">
        <w:rPr>
          <w:rFonts w:ascii="Book Antiqua" w:hAnsi="Book Antiqua"/>
          <w:b/>
          <w:snapToGrid w:val="0"/>
        </w:rPr>
        <w:t xml:space="preserve"> 1 Schema-tipo del prospetto</w:t>
      </w:r>
    </w:p>
    <w:p w14:paraId="7E607048" w14:textId="77777777" w:rsidR="003A1BBF" w:rsidRPr="00302B9C" w:rsidRDefault="003A1BBF" w:rsidP="00302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Book Antiqua" w:hAnsi="Book Antiqua"/>
          <w:b/>
          <w:snapToGrid w:val="0"/>
        </w:rPr>
      </w:pPr>
    </w:p>
    <w:p w14:paraId="54C07809" w14:textId="77777777" w:rsidR="00302B9C" w:rsidRPr="00302B9C" w:rsidRDefault="00302B9C" w:rsidP="00302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 Antiqua" w:hAnsi="Book Antiqua"/>
          <w:b/>
          <w:snapToGrid w:val="0"/>
        </w:rPr>
      </w:pPr>
      <w:r w:rsidRPr="00302B9C">
        <w:rPr>
          <w:rFonts w:ascii="Book Antiqua" w:hAnsi="Book Antiqua"/>
          <w:b/>
          <w:snapToGrid w:val="0"/>
        </w:rPr>
        <w:t xml:space="preserve">È adottato lo schema tipo del prospetto nel quale vanno elencate le  spese di rappresentanza sostenute dagli  organi  di  governo  degli  enti  locali, riportato in </w:t>
      </w:r>
      <w:hyperlink r:id="rId10" w:history="1">
        <w:r w:rsidRPr="00302B9C">
          <w:rPr>
            <w:rFonts w:ascii="Book Antiqua" w:hAnsi="Book Antiqua"/>
            <w:b/>
            <w:snapToGrid w:val="0"/>
          </w:rPr>
          <w:t>allegato</w:t>
        </w:r>
      </w:hyperlink>
      <w:r w:rsidRPr="00302B9C">
        <w:rPr>
          <w:rFonts w:ascii="Book Antiqua" w:hAnsi="Book Antiqua"/>
          <w:b/>
          <w:snapToGrid w:val="0"/>
        </w:rPr>
        <w:t xml:space="preserve"> al presente decreto.</w:t>
      </w:r>
    </w:p>
    <w:p w14:paraId="76C9D11A" w14:textId="77777777" w:rsidR="00302B9C" w:rsidRDefault="00302B9C" w:rsidP="00302B9C">
      <w:pPr>
        <w:shd w:val="clear" w:color="auto" w:fill="FFFFFF"/>
        <w:jc w:val="both"/>
        <w:rPr>
          <w:rFonts w:ascii="Book Antiqua" w:hAnsi="Book Antiqua"/>
          <w:b/>
          <w:snapToGrid w:val="0"/>
        </w:rPr>
      </w:pPr>
    </w:p>
    <w:p w14:paraId="3767B880" w14:textId="77777777" w:rsidR="00302B9C" w:rsidRPr="00062780" w:rsidRDefault="00302B9C" w:rsidP="00302B9C">
      <w:pPr>
        <w:shd w:val="clear" w:color="auto" w:fill="FFFFFF"/>
        <w:jc w:val="both"/>
        <w:rPr>
          <w:rFonts w:ascii="Book Antiqua" w:hAnsi="Book Antiqua"/>
          <w:b/>
          <w:snapToGrid w:val="0"/>
        </w:rPr>
      </w:pPr>
    </w:p>
    <w:p w14:paraId="211DC943" w14:textId="77777777" w:rsidR="00062780" w:rsidRDefault="00302B9C" w:rsidP="00302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Book Antiqua" w:hAnsi="Book Antiqua"/>
          <w:b/>
          <w:snapToGrid w:val="0"/>
        </w:rPr>
      </w:pPr>
      <w:r w:rsidRPr="00302B9C">
        <w:rPr>
          <w:rFonts w:ascii="Book Antiqua" w:hAnsi="Book Antiqua"/>
          <w:b/>
          <w:snapToGrid w:val="0"/>
        </w:rPr>
        <w:t xml:space="preserve">Art. 2 </w:t>
      </w:r>
      <w:r w:rsidR="00062780" w:rsidRPr="00062780">
        <w:rPr>
          <w:rFonts w:ascii="Book Antiqua" w:hAnsi="Book Antiqua"/>
          <w:b/>
          <w:snapToGrid w:val="0"/>
        </w:rPr>
        <w:t>Trasmissione e pubblicazione del prospetto</w:t>
      </w:r>
    </w:p>
    <w:p w14:paraId="0EBEE31D" w14:textId="77777777" w:rsidR="003A1BBF" w:rsidRPr="00062780" w:rsidRDefault="003A1BBF" w:rsidP="00302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Book Antiqua" w:hAnsi="Book Antiqua"/>
          <w:b/>
          <w:snapToGrid w:val="0"/>
        </w:rPr>
      </w:pPr>
    </w:p>
    <w:p w14:paraId="4C1B85DC" w14:textId="77777777" w:rsidR="00062780" w:rsidRPr="00062780" w:rsidRDefault="00062780" w:rsidP="00302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 Antiqua" w:hAnsi="Book Antiqua"/>
          <w:b/>
          <w:snapToGrid w:val="0"/>
        </w:rPr>
      </w:pPr>
      <w:r w:rsidRPr="00062780">
        <w:rPr>
          <w:rFonts w:ascii="Book Antiqua" w:hAnsi="Book Antiqua"/>
          <w:b/>
          <w:snapToGrid w:val="0"/>
        </w:rPr>
        <w:t>Il prospetto, che elenca le spese di rappresentanza sostenute  in  ciascun</w:t>
      </w:r>
      <w:r w:rsidR="00302B9C" w:rsidRPr="00302B9C">
        <w:rPr>
          <w:rFonts w:ascii="Book Antiqua" w:hAnsi="Book Antiqua"/>
          <w:b/>
          <w:snapToGrid w:val="0"/>
        </w:rPr>
        <w:t xml:space="preserve"> </w:t>
      </w:r>
      <w:r w:rsidRPr="00062780">
        <w:rPr>
          <w:rFonts w:ascii="Book Antiqua" w:hAnsi="Book Antiqua"/>
          <w:b/>
          <w:snapToGrid w:val="0"/>
        </w:rPr>
        <w:t>esercizio finanziario, va allegato  al  rendiconto  della  gestione  di  cui</w:t>
      </w:r>
      <w:r w:rsidR="00302B9C" w:rsidRPr="00302B9C">
        <w:rPr>
          <w:rFonts w:ascii="Book Antiqua" w:hAnsi="Book Antiqua"/>
          <w:b/>
          <w:snapToGrid w:val="0"/>
        </w:rPr>
        <w:t xml:space="preserve"> </w:t>
      </w:r>
      <w:r w:rsidRPr="00062780">
        <w:rPr>
          <w:rFonts w:ascii="Book Antiqua" w:hAnsi="Book Antiqua"/>
          <w:b/>
          <w:snapToGrid w:val="0"/>
        </w:rPr>
        <w:t>all'</w:t>
      </w:r>
      <w:hyperlink r:id="rId11" w:history="1">
        <w:r w:rsidRPr="00062780">
          <w:rPr>
            <w:rFonts w:ascii="Book Antiqua" w:hAnsi="Book Antiqua"/>
            <w:b/>
            <w:snapToGrid w:val="0"/>
          </w:rPr>
          <w:t>art. 227 del decreto legislativo 18 agosto 2000, n. 267</w:t>
        </w:r>
      </w:hyperlink>
      <w:r w:rsidRPr="00062780">
        <w:rPr>
          <w:rFonts w:ascii="Book Antiqua" w:hAnsi="Book Antiqua"/>
          <w:b/>
          <w:snapToGrid w:val="0"/>
        </w:rPr>
        <w:t xml:space="preserve"> e trasmesso alla</w:t>
      </w:r>
      <w:r w:rsidR="00302B9C" w:rsidRPr="00302B9C">
        <w:rPr>
          <w:rFonts w:ascii="Book Antiqua" w:hAnsi="Book Antiqua"/>
          <w:b/>
          <w:snapToGrid w:val="0"/>
        </w:rPr>
        <w:t xml:space="preserve"> </w:t>
      </w:r>
      <w:r w:rsidRPr="00062780">
        <w:rPr>
          <w:rFonts w:ascii="Book Antiqua" w:hAnsi="Book Antiqua"/>
          <w:b/>
          <w:snapToGrid w:val="0"/>
        </w:rPr>
        <w:t>competente sezione regionale di controllo della Corte dei conti, entro dieci</w:t>
      </w:r>
      <w:r w:rsidR="00302B9C" w:rsidRPr="00302B9C">
        <w:rPr>
          <w:rFonts w:ascii="Book Antiqua" w:hAnsi="Book Antiqua"/>
          <w:b/>
          <w:snapToGrid w:val="0"/>
        </w:rPr>
        <w:t xml:space="preserve"> </w:t>
      </w:r>
      <w:r w:rsidRPr="00062780">
        <w:rPr>
          <w:rFonts w:ascii="Book Antiqua" w:hAnsi="Book Antiqua"/>
          <w:b/>
          <w:snapToGrid w:val="0"/>
        </w:rPr>
        <w:t>giorni dall'approvazione del predetto rendiconto. Entro lo  stesso  termine,</w:t>
      </w:r>
      <w:r w:rsidR="00302B9C" w:rsidRPr="00302B9C">
        <w:rPr>
          <w:rFonts w:ascii="Book Antiqua" w:hAnsi="Book Antiqua"/>
          <w:b/>
          <w:snapToGrid w:val="0"/>
        </w:rPr>
        <w:t xml:space="preserve"> </w:t>
      </w:r>
      <w:r w:rsidRPr="00062780">
        <w:rPr>
          <w:rFonts w:ascii="Book Antiqua" w:hAnsi="Book Antiqua"/>
          <w:b/>
          <w:snapToGrid w:val="0"/>
        </w:rPr>
        <w:t>l'elenco è pubblicato nel sito internet dell'ente locale.</w:t>
      </w:r>
    </w:p>
    <w:p w14:paraId="56EB16D9" w14:textId="77777777" w:rsidR="00302B9C" w:rsidRPr="00302B9C" w:rsidRDefault="00302B9C" w:rsidP="00302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 Antiqua" w:hAnsi="Book Antiqua"/>
          <w:b/>
          <w:snapToGrid w:val="0"/>
        </w:rPr>
      </w:pPr>
    </w:p>
    <w:p w14:paraId="13D85914" w14:textId="77777777" w:rsidR="00062780" w:rsidRDefault="00302B9C" w:rsidP="00302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Book Antiqua" w:hAnsi="Book Antiqua"/>
          <w:b/>
          <w:snapToGrid w:val="0"/>
        </w:rPr>
      </w:pPr>
      <w:r w:rsidRPr="00302B9C">
        <w:rPr>
          <w:rFonts w:ascii="Book Antiqua" w:hAnsi="Book Antiqua"/>
          <w:b/>
          <w:snapToGrid w:val="0"/>
        </w:rPr>
        <w:t>Art.3</w:t>
      </w:r>
      <w:r>
        <w:rPr>
          <w:rFonts w:ascii="Book Antiqua" w:hAnsi="Book Antiqua"/>
          <w:b/>
          <w:snapToGrid w:val="0"/>
        </w:rPr>
        <w:t xml:space="preserve"> </w:t>
      </w:r>
      <w:r w:rsidR="00062780" w:rsidRPr="00062780">
        <w:rPr>
          <w:rFonts w:ascii="Book Antiqua" w:hAnsi="Book Antiqua"/>
          <w:b/>
          <w:snapToGrid w:val="0"/>
        </w:rPr>
        <w:t>Predisposizione e sottoscrizione del prospetto</w:t>
      </w:r>
    </w:p>
    <w:p w14:paraId="6DDE0A5D" w14:textId="77777777" w:rsidR="003A1BBF" w:rsidRPr="00062780" w:rsidRDefault="003A1BBF" w:rsidP="00302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Book Antiqua" w:hAnsi="Book Antiqua"/>
          <w:b/>
          <w:snapToGrid w:val="0"/>
        </w:rPr>
      </w:pPr>
    </w:p>
    <w:p w14:paraId="7A40712A" w14:textId="77777777" w:rsidR="00062780" w:rsidRPr="00062780" w:rsidRDefault="00062780" w:rsidP="00302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 Antiqua" w:hAnsi="Book Antiqua"/>
          <w:b/>
          <w:snapToGrid w:val="0"/>
        </w:rPr>
      </w:pPr>
      <w:r w:rsidRPr="00062780">
        <w:rPr>
          <w:rFonts w:ascii="Book Antiqua" w:hAnsi="Book Antiqua"/>
          <w:b/>
          <w:snapToGrid w:val="0"/>
        </w:rPr>
        <w:t>Il  prospetto  è  compilato  a  cura  del  segretario  dell'ente   e   del</w:t>
      </w:r>
      <w:r w:rsidR="00302B9C" w:rsidRPr="00302B9C">
        <w:rPr>
          <w:rFonts w:ascii="Book Antiqua" w:hAnsi="Book Antiqua"/>
          <w:b/>
          <w:snapToGrid w:val="0"/>
        </w:rPr>
        <w:t xml:space="preserve"> </w:t>
      </w:r>
      <w:r w:rsidRPr="00062780">
        <w:rPr>
          <w:rFonts w:ascii="Book Antiqua" w:hAnsi="Book Antiqua"/>
          <w:b/>
          <w:snapToGrid w:val="0"/>
        </w:rPr>
        <w:t>responsabile di servizi finanziari  e  sottoscritto  dai  predetti  soggetti</w:t>
      </w:r>
      <w:r w:rsidR="00302B9C" w:rsidRPr="00302B9C">
        <w:rPr>
          <w:rFonts w:ascii="Book Antiqua" w:hAnsi="Book Antiqua"/>
          <w:b/>
          <w:snapToGrid w:val="0"/>
        </w:rPr>
        <w:t xml:space="preserve"> </w:t>
      </w:r>
      <w:r w:rsidRPr="00062780">
        <w:rPr>
          <w:rFonts w:ascii="Book Antiqua" w:hAnsi="Book Antiqua"/>
          <w:b/>
          <w:snapToGrid w:val="0"/>
        </w:rPr>
        <w:t>oltre che dall'organo di revisione economico-finanziario.</w:t>
      </w:r>
    </w:p>
    <w:p w14:paraId="1542614E" w14:textId="77777777" w:rsidR="004A663E" w:rsidRPr="00302B9C" w:rsidRDefault="004A663E" w:rsidP="00302B9C">
      <w:pPr>
        <w:spacing w:before="100" w:beforeAutospacing="1" w:after="100" w:afterAutospacing="1" w:line="360" w:lineRule="auto"/>
        <w:jc w:val="both"/>
        <w:rPr>
          <w:rFonts w:ascii="Book Antiqua" w:hAnsi="Book Antiqua"/>
          <w:b/>
          <w:snapToGrid w:val="0"/>
        </w:rPr>
      </w:pPr>
    </w:p>
    <w:p w14:paraId="2E9BA95B" w14:textId="77777777" w:rsidR="00062780" w:rsidRDefault="00062780" w:rsidP="00514CB5">
      <w:pPr>
        <w:spacing w:before="100" w:beforeAutospacing="1" w:after="100" w:afterAutospacing="1" w:line="360" w:lineRule="auto"/>
        <w:jc w:val="center"/>
      </w:pPr>
    </w:p>
    <w:sectPr w:rsidR="00062780" w:rsidSect="00BB6B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6149C" w14:textId="77777777" w:rsidR="007404C7" w:rsidRDefault="007404C7" w:rsidP="00A25C6A">
      <w:r>
        <w:separator/>
      </w:r>
    </w:p>
  </w:endnote>
  <w:endnote w:type="continuationSeparator" w:id="0">
    <w:p w14:paraId="1EAF6F2D" w14:textId="77777777" w:rsidR="007404C7" w:rsidRDefault="007404C7" w:rsidP="00A2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E7CE1" w14:textId="77777777" w:rsidR="00A25C6A" w:rsidRDefault="00A25C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B29A9" w14:textId="77777777" w:rsidR="00A25C6A" w:rsidRDefault="00A25C6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B7A7F" w14:textId="77777777" w:rsidR="00A25C6A" w:rsidRDefault="00A25C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45F4C" w14:textId="77777777" w:rsidR="007404C7" w:rsidRDefault="007404C7" w:rsidP="00A25C6A">
      <w:r>
        <w:separator/>
      </w:r>
    </w:p>
  </w:footnote>
  <w:footnote w:type="continuationSeparator" w:id="0">
    <w:p w14:paraId="595249E2" w14:textId="77777777" w:rsidR="007404C7" w:rsidRDefault="007404C7" w:rsidP="00A25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FA263" w14:textId="77777777" w:rsidR="00A25C6A" w:rsidRDefault="00A25C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1702037"/>
      <w:docPartObj>
        <w:docPartGallery w:val="Watermarks"/>
        <w:docPartUnique/>
      </w:docPartObj>
    </w:sdtPr>
    <w:sdtEndPr/>
    <w:sdtContent>
      <w:p w14:paraId="501186FB" w14:textId="6C5188D6" w:rsidR="00A25C6A" w:rsidRDefault="007404C7">
        <w:pPr>
          <w:pStyle w:val="Intestazione"/>
        </w:pPr>
        <w:r>
          <w:pict w14:anchorId="716F111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margin-left:0;margin-top:0;width:619.35pt;height:59.9pt;rotation:315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BOZZA PER LA PUBBLICA CONSULTAZION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77FBF" w14:textId="77777777" w:rsidR="00A25C6A" w:rsidRDefault="00A25C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F14C6"/>
    <w:multiLevelType w:val="hybridMultilevel"/>
    <w:tmpl w:val="42485576"/>
    <w:lvl w:ilvl="0" w:tplc="4B022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732DC"/>
    <w:multiLevelType w:val="hybridMultilevel"/>
    <w:tmpl w:val="BAD4ED76"/>
    <w:lvl w:ilvl="0" w:tplc="FFFFFFFF">
      <w:start w:val="1"/>
      <w:numFmt w:val="bullet"/>
      <w:lvlText w:val=""/>
      <w:lvlJc w:val="left"/>
      <w:pPr>
        <w:tabs>
          <w:tab w:val="num" w:pos="663"/>
        </w:tabs>
        <w:ind w:left="102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2" w15:restartNumberingAfterBreak="0">
    <w:nsid w:val="0EF748AE"/>
    <w:multiLevelType w:val="hybridMultilevel"/>
    <w:tmpl w:val="0D8AA4AA"/>
    <w:lvl w:ilvl="0" w:tplc="6778F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7472B"/>
    <w:multiLevelType w:val="hybridMultilevel"/>
    <w:tmpl w:val="105ABC76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12C63"/>
    <w:multiLevelType w:val="hybridMultilevel"/>
    <w:tmpl w:val="3066334A"/>
    <w:lvl w:ilvl="0" w:tplc="CB8692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02426"/>
    <w:multiLevelType w:val="hybridMultilevel"/>
    <w:tmpl w:val="FA80C752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BC7A37"/>
    <w:multiLevelType w:val="hybridMultilevel"/>
    <w:tmpl w:val="E71CC778"/>
    <w:lvl w:ilvl="0" w:tplc="748A4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513E3"/>
    <w:multiLevelType w:val="hybridMultilevel"/>
    <w:tmpl w:val="4516BB0A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8A718B"/>
    <w:multiLevelType w:val="hybridMultilevel"/>
    <w:tmpl w:val="66266112"/>
    <w:lvl w:ilvl="0" w:tplc="EB26A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B31F1"/>
    <w:multiLevelType w:val="hybridMultilevel"/>
    <w:tmpl w:val="4B824C1C"/>
    <w:lvl w:ilvl="0" w:tplc="EC6CB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86F51"/>
    <w:multiLevelType w:val="hybridMultilevel"/>
    <w:tmpl w:val="CF6ABA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C7C47"/>
    <w:multiLevelType w:val="hybridMultilevel"/>
    <w:tmpl w:val="ABBA97EA"/>
    <w:lvl w:ilvl="0" w:tplc="9FE6E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D3D99"/>
    <w:multiLevelType w:val="hybridMultilevel"/>
    <w:tmpl w:val="D090DDC0"/>
    <w:lvl w:ilvl="0" w:tplc="721CF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744CF"/>
    <w:multiLevelType w:val="hybridMultilevel"/>
    <w:tmpl w:val="7034F9BE"/>
    <w:lvl w:ilvl="0" w:tplc="4B022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3313D"/>
    <w:multiLevelType w:val="hybridMultilevel"/>
    <w:tmpl w:val="6AD0214A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1F25AC"/>
    <w:multiLevelType w:val="hybridMultilevel"/>
    <w:tmpl w:val="FF727876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A632D2"/>
    <w:multiLevelType w:val="hybridMultilevel"/>
    <w:tmpl w:val="830CCD7E"/>
    <w:lvl w:ilvl="0" w:tplc="BD089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73D00"/>
    <w:multiLevelType w:val="hybridMultilevel"/>
    <w:tmpl w:val="BFD606E2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894D95"/>
    <w:multiLevelType w:val="hybridMultilevel"/>
    <w:tmpl w:val="02C80984"/>
    <w:lvl w:ilvl="0" w:tplc="EB26A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77D6E"/>
    <w:multiLevelType w:val="multilevel"/>
    <w:tmpl w:val="B8145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C1332"/>
    <w:multiLevelType w:val="hybridMultilevel"/>
    <w:tmpl w:val="4686E362"/>
    <w:lvl w:ilvl="0" w:tplc="A81A9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E6F6B"/>
    <w:multiLevelType w:val="hybridMultilevel"/>
    <w:tmpl w:val="ED22D33A"/>
    <w:lvl w:ilvl="0" w:tplc="6E5AD250">
      <w:start w:val="1"/>
      <w:numFmt w:val="decimal"/>
      <w:lvlText w:val="(%1)"/>
      <w:lvlJc w:val="left"/>
      <w:pPr>
        <w:ind w:left="720" w:hanging="360"/>
      </w:pPr>
      <w:rPr>
        <w:rFonts w:hint="default"/>
        <w:color w:val="47474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F7663"/>
    <w:multiLevelType w:val="hybridMultilevel"/>
    <w:tmpl w:val="27D445DE"/>
    <w:lvl w:ilvl="0" w:tplc="40AE9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96BD6"/>
    <w:multiLevelType w:val="hybridMultilevel"/>
    <w:tmpl w:val="66727B02"/>
    <w:lvl w:ilvl="0" w:tplc="CA8E3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65FB4"/>
    <w:multiLevelType w:val="hybridMultilevel"/>
    <w:tmpl w:val="88E8911A"/>
    <w:lvl w:ilvl="0" w:tplc="4B022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87A65"/>
    <w:multiLevelType w:val="hybridMultilevel"/>
    <w:tmpl w:val="76B44E20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A746A0"/>
    <w:multiLevelType w:val="hybridMultilevel"/>
    <w:tmpl w:val="4686E362"/>
    <w:lvl w:ilvl="0" w:tplc="A81A9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04D5C"/>
    <w:multiLevelType w:val="hybridMultilevel"/>
    <w:tmpl w:val="1A1892FC"/>
    <w:lvl w:ilvl="0" w:tplc="A81A9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4419B"/>
    <w:multiLevelType w:val="hybridMultilevel"/>
    <w:tmpl w:val="23F4CA58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9"/>
  </w:num>
  <w:num w:numId="4">
    <w:abstractNumId w:val="23"/>
  </w:num>
  <w:num w:numId="5">
    <w:abstractNumId w:val="24"/>
  </w:num>
  <w:num w:numId="6">
    <w:abstractNumId w:val="13"/>
  </w:num>
  <w:num w:numId="7">
    <w:abstractNumId w:val="0"/>
  </w:num>
  <w:num w:numId="8">
    <w:abstractNumId w:val="1"/>
  </w:num>
  <w:num w:numId="9">
    <w:abstractNumId w:val="15"/>
  </w:num>
  <w:num w:numId="10">
    <w:abstractNumId w:val="14"/>
  </w:num>
  <w:num w:numId="11">
    <w:abstractNumId w:val="17"/>
  </w:num>
  <w:num w:numId="12">
    <w:abstractNumId w:val="7"/>
  </w:num>
  <w:num w:numId="13">
    <w:abstractNumId w:val="3"/>
  </w:num>
  <w:num w:numId="14">
    <w:abstractNumId w:val="25"/>
  </w:num>
  <w:num w:numId="15">
    <w:abstractNumId w:val="5"/>
  </w:num>
  <w:num w:numId="16">
    <w:abstractNumId w:val="28"/>
  </w:num>
  <w:num w:numId="17">
    <w:abstractNumId w:val="16"/>
  </w:num>
  <w:num w:numId="18">
    <w:abstractNumId w:val="12"/>
  </w:num>
  <w:num w:numId="19">
    <w:abstractNumId w:val="19"/>
  </w:num>
  <w:num w:numId="20">
    <w:abstractNumId w:val="2"/>
  </w:num>
  <w:num w:numId="21">
    <w:abstractNumId w:val="26"/>
  </w:num>
  <w:num w:numId="22">
    <w:abstractNumId w:val="20"/>
  </w:num>
  <w:num w:numId="23">
    <w:abstractNumId w:val="27"/>
  </w:num>
  <w:num w:numId="24">
    <w:abstractNumId w:val="6"/>
  </w:num>
  <w:num w:numId="25">
    <w:abstractNumId w:val="8"/>
  </w:num>
  <w:num w:numId="26">
    <w:abstractNumId w:val="18"/>
  </w:num>
  <w:num w:numId="27">
    <w:abstractNumId w:val="21"/>
  </w:num>
  <w:num w:numId="28">
    <w:abstractNumId w:val="1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EFB"/>
    <w:rsid w:val="000040AB"/>
    <w:rsid w:val="00062780"/>
    <w:rsid w:val="000A7F37"/>
    <w:rsid w:val="000B1C23"/>
    <w:rsid w:val="000C4064"/>
    <w:rsid w:val="00104E8C"/>
    <w:rsid w:val="0010705A"/>
    <w:rsid w:val="00135207"/>
    <w:rsid w:val="00141DC1"/>
    <w:rsid w:val="0015092D"/>
    <w:rsid w:val="00191A68"/>
    <w:rsid w:val="001D5AF8"/>
    <w:rsid w:val="00227EFB"/>
    <w:rsid w:val="002425C5"/>
    <w:rsid w:val="002472C6"/>
    <w:rsid w:val="002479C7"/>
    <w:rsid w:val="0027205A"/>
    <w:rsid w:val="002B3C58"/>
    <w:rsid w:val="002D2425"/>
    <w:rsid w:val="002E02AE"/>
    <w:rsid w:val="002E14EB"/>
    <w:rsid w:val="002F482A"/>
    <w:rsid w:val="003017BE"/>
    <w:rsid w:val="00302B9C"/>
    <w:rsid w:val="003116A5"/>
    <w:rsid w:val="003120C4"/>
    <w:rsid w:val="00316930"/>
    <w:rsid w:val="00345CF7"/>
    <w:rsid w:val="00364B15"/>
    <w:rsid w:val="003A10EA"/>
    <w:rsid w:val="003A1BBF"/>
    <w:rsid w:val="003B08CF"/>
    <w:rsid w:val="00404733"/>
    <w:rsid w:val="004267A7"/>
    <w:rsid w:val="004A663E"/>
    <w:rsid w:val="004F6DC1"/>
    <w:rsid w:val="004F7CAA"/>
    <w:rsid w:val="00514CB5"/>
    <w:rsid w:val="00545665"/>
    <w:rsid w:val="00580898"/>
    <w:rsid w:val="005812CD"/>
    <w:rsid w:val="005E1D88"/>
    <w:rsid w:val="00652BD1"/>
    <w:rsid w:val="00657F77"/>
    <w:rsid w:val="00682E39"/>
    <w:rsid w:val="006C4A6B"/>
    <w:rsid w:val="006C521D"/>
    <w:rsid w:val="00725D13"/>
    <w:rsid w:val="007404C7"/>
    <w:rsid w:val="00740D40"/>
    <w:rsid w:val="00765E54"/>
    <w:rsid w:val="007A1CEA"/>
    <w:rsid w:val="007B5226"/>
    <w:rsid w:val="007F02E7"/>
    <w:rsid w:val="00802D40"/>
    <w:rsid w:val="008230A8"/>
    <w:rsid w:val="00864F79"/>
    <w:rsid w:val="0087468C"/>
    <w:rsid w:val="008D0A00"/>
    <w:rsid w:val="008D66BC"/>
    <w:rsid w:val="00903BE4"/>
    <w:rsid w:val="00905468"/>
    <w:rsid w:val="009063E3"/>
    <w:rsid w:val="00950B80"/>
    <w:rsid w:val="00987BAC"/>
    <w:rsid w:val="0099702D"/>
    <w:rsid w:val="009D2498"/>
    <w:rsid w:val="009D772A"/>
    <w:rsid w:val="009E1292"/>
    <w:rsid w:val="00A17C3E"/>
    <w:rsid w:val="00A25C6A"/>
    <w:rsid w:val="00A522CA"/>
    <w:rsid w:val="00A56E86"/>
    <w:rsid w:val="00A8547D"/>
    <w:rsid w:val="00AA733E"/>
    <w:rsid w:val="00AC2ED9"/>
    <w:rsid w:val="00AC732C"/>
    <w:rsid w:val="00AF7992"/>
    <w:rsid w:val="00B218AB"/>
    <w:rsid w:val="00B22885"/>
    <w:rsid w:val="00B30D36"/>
    <w:rsid w:val="00B700E6"/>
    <w:rsid w:val="00B76D21"/>
    <w:rsid w:val="00B8307D"/>
    <w:rsid w:val="00BB6BE6"/>
    <w:rsid w:val="00BE0630"/>
    <w:rsid w:val="00C34E86"/>
    <w:rsid w:val="00C36ABD"/>
    <w:rsid w:val="00C9567A"/>
    <w:rsid w:val="00CB1E36"/>
    <w:rsid w:val="00D016A1"/>
    <w:rsid w:val="00D50BA1"/>
    <w:rsid w:val="00D77708"/>
    <w:rsid w:val="00D93FAC"/>
    <w:rsid w:val="00DA6C6D"/>
    <w:rsid w:val="00E15E90"/>
    <w:rsid w:val="00E17760"/>
    <w:rsid w:val="00E17FE6"/>
    <w:rsid w:val="00E431BC"/>
    <w:rsid w:val="00E53BC5"/>
    <w:rsid w:val="00E56E02"/>
    <w:rsid w:val="00E63B8C"/>
    <w:rsid w:val="00EA47E1"/>
    <w:rsid w:val="00EA5C69"/>
    <w:rsid w:val="00EC7D1E"/>
    <w:rsid w:val="00ED383F"/>
    <w:rsid w:val="00EF2114"/>
    <w:rsid w:val="00F23B17"/>
    <w:rsid w:val="00F360F4"/>
    <w:rsid w:val="00F41169"/>
    <w:rsid w:val="00F41CC3"/>
    <w:rsid w:val="00F8644E"/>
    <w:rsid w:val="00F872D3"/>
    <w:rsid w:val="00F97FDB"/>
    <w:rsid w:val="00FD0DBE"/>
    <w:rsid w:val="00FE52F7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4A87B8"/>
  <w15:docId w15:val="{656C5D48-D016-4950-893F-56EBFD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7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ED383F"/>
    <w:pPr>
      <w:spacing w:before="100" w:beforeAutospacing="1" w:after="100" w:afterAutospacing="1"/>
    </w:pPr>
    <w:rPr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D38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8644E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950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50B8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B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B1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5C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C6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25C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C6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377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3995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040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86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242">
      <w:bodyDiv w:val="1"/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188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9881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49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8218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4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651">
      <w:bodyDiv w:val="1"/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435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261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3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449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499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48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ilfisco.it/perl/fol-new.pl?cmd-doc=6998%20omenid%280%3A1%2A%2A%29%20%5B0%5D;log-ssckey=81730e6b989f8ad99129b4a138773fd4-209;log-ckey=%2412053988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ome.ilfisco.it/perl/fol-new.pl?cmd-doc=6998%20omenid%280%3A1%2A%2A%29%20%5B0%5D;log-ssckey=81730e6b989f8ad99129b4a138773fd4-209;log-ckey=%241205398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home.ilfisco.it/perl/fol-new.pl?cmd-doc=481740%20omenid%280%3A1%2A%2A%29%20%5B0%5D;log-ckey=%2412053988;log-ssckey=81730e6b989f8ad99129b4a138773fd4-20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ome.ilfisco.it/perl/fol-new.pl?cmd-doc=420130%20omenid%280%3A1%2A%2A%29%20%5B0%5D;log-ssckey=81730e6b989f8ad99129b4a138773fd4-209;log-ckey=%241205398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32258-CF98-4E56-BF72-8B7E0B72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</dc:creator>
  <cp:lastModifiedBy>Anna De Toni</cp:lastModifiedBy>
  <cp:revision>14</cp:revision>
  <cp:lastPrinted>2020-05-21T19:38:00Z</cp:lastPrinted>
  <dcterms:created xsi:type="dcterms:W3CDTF">2019-11-17T12:08:00Z</dcterms:created>
  <dcterms:modified xsi:type="dcterms:W3CDTF">2020-06-09T15:48:00Z</dcterms:modified>
</cp:coreProperties>
</file>