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8FAA8" w14:textId="77777777" w:rsidR="00227EFB" w:rsidRDefault="00227EFB" w:rsidP="00227EFB">
      <w:pPr>
        <w:rPr>
          <w:b/>
          <w:sz w:val="24"/>
        </w:rPr>
      </w:pPr>
    </w:p>
    <w:tbl>
      <w:tblPr>
        <w:tblW w:w="10349" w:type="dxa"/>
        <w:tblInd w:w="-372" w:type="dxa"/>
        <w:tblLayout w:type="fixed"/>
        <w:tblCellMar>
          <w:left w:w="54" w:type="dxa"/>
          <w:right w:w="54" w:type="dxa"/>
        </w:tblCellMar>
        <w:tblLook w:val="0000" w:firstRow="0" w:lastRow="0" w:firstColumn="0" w:lastColumn="0" w:noHBand="0" w:noVBand="0"/>
      </w:tblPr>
      <w:tblGrid>
        <w:gridCol w:w="5246"/>
        <w:gridCol w:w="567"/>
        <w:gridCol w:w="567"/>
        <w:gridCol w:w="850"/>
        <w:gridCol w:w="3119"/>
      </w:tblGrid>
      <w:tr w:rsidR="00227EFB" w14:paraId="10267F3C" w14:textId="77777777" w:rsidTr="00514CB5">
        <w:trPr>
          <w:cantSplit/>
          <w:trHeight w:val="1269"/>
        </w:trPr>
        <w:tc>
          <w:tcPr>
            <w:tcW w:w="10349" w:type="dxa"/>
            <w:gridSpan w:val="5"/>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1774CE3C" w14:textId="77777777" w:rsidR="00B30D36" w:rsidRPr="00CB5794" w:rsidRDefault="00227EFB" w:rsidP="00345CF7">
            <w:pPr>
              <w:widowControl w:val="0"/>
              <w:shd w:val="clear" w:color="auto" w:fill="FF0000"/>
              <w:jc w:val="center"/>
              <w:rPr>
                <w:rFonts w:ascii="Book Antiqua" w:hAnsi="Book Antiqua"/>
                <w:b/>
                <w:snapToGrid w:val="0"/>
                <w:sz w:val="24"/>
                <w:szCs w:val="24"/>
              </w:rPr>
            </w:pPr>
            <w:r w:rsidRPr="00CB5794">
              <w:rPr>
                <w:rFonts w:ascii="Book Antiqua" w:hAnsi="Book Antiqua"/>
                <w:b/>
                <w:snapToGrid w:val="0"/>
                <w:sz w:val="24"/>
                <w:szCs w:val="24"/>
              </w:rPr>
              <w:t>C</w:t>
            </w:r>
            <w:r w:rsidR="00B22885" w:rsidRPr="00CB5794">
              <w:rPr>
                <w:rFonts w:ascii="Book Antiqua" w:hAnsi="Book Antiqua"/>
                <w:b/>
                <w:snapToGrid w:val="0"/>
                <w:sz w:val="24"/>
                <w:szCs w:val="24"/>
              </w:rPr>
              <w:t>HECK LIST</w:t>
            </w:r>
          </w:p>
          <w:p w14:paraId="7718870B" w14:textId="77777777" w:rsidR="00CB5794" w:rsidRPr="00CB5794" w:rsidRDefault="00CB5794" w:rsidP="00345CF7">
            <w:pPr>
              <w:widowControl w:val="0"/>
              <w:shd w:val="clear" w:color="auto" w:fill="FF0000"/>
              <w:jc w:val="center"/>
              <w:rPr>
                <w:rFonts w:ascii="Book Antiqua" w:hAnsi="Book Antiqua"/>
                <w:b/>
                <w:snapToGrid w:val="0"/>
                <w:sz w:val="24"/>
                <w:szCs w:val="24"/>
              </w:rPr>
            </w:pPr>
          </w:p>
          <w:p w14:paraId="0301BA7E" w14:textId="77777777" w:rsidR="00CB5794" w:rsidRPr="00CB5794" w:rsidRDefault="00CB5794" w:rsidP="009063E3">
            <w:pPr>
              <w:widowControl w:val="0"/>
              <w:shd w:val="clear" w:color="auto" w:fill="FF0000"/>
              <w:jc w:val="center"/>
              <w:rPr>
                <w:rFonts w:ascii="Book Antiqua" w:hAnsi="Book Antiqua"/>
                <w:b/>
                <w:snapToGrid w:val="0"/>
                <w:sz w:val="24"/>
                <w:szCs w:val="24"/>
              </w:rPr>
            </w:pPr>
            <w:r>
              <w:rPr>
                <w:rFonts w:ascii="Book Antiqua" w:hAnsi="Book Antiqua"/>
                <w:b/>
                <w:snapToGrid w:val="0"/>
                <w:sz w:val="24"/>
                <w:szCs w:val="24"/>
              </w:rPr>
              <w:t>“</w:t>
            </w:r>
            <w:r w:rsidRPr="00CB5794">
              <w:rPr>
                <w:rFonts w:ascii="Book Antiqua" w:hAnsi="Book Antiqua"/>
                <w:b/>
                <w:snapToGrid w:val="0"/>
                <w:sz w:val="24"/>
                <w:szCs w:val="24"/>
              </w:rPr>
              <w:t>PIANO TRIENNALE DI RAZIONALIZZAZIONE E RIQUALIFICAZIONE DELLA SPESA</w:t>
            </w:r>
            <w:r>
              <w:rPr>
                <w:rFonts w:ascii="Book Antiqua" w:hAnsi="Book Antiqua"/>
                <w:b/>
                <w:snapToGrid w:val="0"/>
                <w:sz w:val="24"/>
                <w:szCs w:val="24"/>
              </w:rPr>
              <w:t>”</w:t>
            </w:r>
          </w:p>
          <w:p w14:paraId="745C333C" w14:textId="77777777" w:rsidR="00227EFB" w:rsidRPr="00CB5794" w:rsidRDefault="00227EFB" w:rsidP="009063E3">
            <w:pPr>
              <w:widowControl w:val="0"/>
              <w:shd w:val="clear" w:color="auto" w:fill="FF0000"/>
              <w:jc w:val="center"/>
              <w:rPr>
                <w:rFonts w:ascii="Book Antiqua" w:hAnsi="Book Antiqua"/>
                <w:i/>
                <w:snapToGrid w:val="0"/>
                <w:sz w:val="24"/>
                <w:szCs w:val="24"/>
              </w:rPr>
            </w:pPr>
          </w:p>
        </w:tc>
      </w:tr>
      <w:tr w:rsidR="00227EFB" w14:paraId="3A70B889" w14:textId="77777777" w:rsidTr="00514CB5">
        <w:trPr>
          <w:cantSplit/>
          <w:trHeight w:val="952"/>
        </w:trPr>
        <w:tc>
          <w:tcPr>
            <w:tcW w:w="10349" w:type="dxa"/>
            <w:gridSpan w:val="5"/>
            <w:tcBorders>
              <w:top w:val="single" w:sz="4" w:space="0" w:color="auto"/>
              <w:left w:val="single" w:sz="4" w:space="0" w:color="auto"/>
              <w:bottom w:val="single" w:sz="4" w:space="0" w:color="auto"/>
              <w:right w:val="single" w:sz="6" w:space="0" w:color="auto"/>
            </w:tcBorders>
            <w:shd w:val="pct12" w:color="auto" w:fill="auto"/>
          </w:tcPr>
          <w:p w14:paraId="2FEBE3B6" w14:textId="77777777" w:rsidR="00AF7992" w:rsidRPr="00CB5794" w:rsidRDefault="00AF7992" w:rsidP="00AF7992">
            <w:pPr>
              <w:widowControl w:val="0"/>
              <w:shd w:val="clear" w:color="auto" w:fill="FF0000"/>
              <w:jc w:val="center"/>
              <w:rPr>
                <w:rFonts w:ascii="Book Antiqua" w:hAnsi="Book Antiqua"/>
                <w:i/>
                <w:snapToGrid w:val="0"/>
                <w:sz w:val="24"/>
                <w:szCs w:val="24"/>
              </w:rPr>
            </w:pPr>
          </w:p>
          <w:p w14:paraId="078B7877" w14:textId="77777777" w:rsidR="00802D40" w:rsidRPr="008A09B2" w:rsidRDefault="009063E3" w:rsidP="00F23B17">
            <w:pPr>
              <w:widowControl w:val="0"/>
              <w:shd w:val="clear" w:color="auto" w:fill="FF0000"/>
              <w:jc w:val="center"/>
              <w:rPr>
                <w:rFonts w:ascii="Book Antiqua" w:hAnsi="Book Antiqua"/>
                <w:b/>
                <w:snapToGrid w:val="0"/>
                <w:sz w:val="24"/>
                <w:szCs w:val="24"/>
              </w:rPr>
            </w:pPr>
            <w:r w:rsidRPr="008A09B2">
              <w:rPr>
                <w:rFonts w:ascii="Book Antiqua" w:hAnsi="Book Antiqua"/>
                <w:b/>
                <w:snapToGrid w:val="0"/>
                <w:sz w:val="24"/>
                <w:szCs w:val="24"/>
              </w:rPr>
              <w:t>Punto 2.10.4.1 PVC n. 2</w:t>
            </w:r>
          </w:p>
          <w:p w14:paraId="0C991B51" w14:textId="77777777" w:rsidR="00CB5794" w:rsidRPr="00CB5794" w:rsidRDefault="00CB5794" w:rsidP="00F23B17">
            <w:pPr>
              <w:widowControl w:val="0"/>
              <w:shd w:val="clear" w:color="auto" w:fill="FF0000"/>
              <w:jc w:val="center"/>
              <w:rPr>
                <w:rFonts w:ascii="Book Antiqua" w:hAnsi="Book Antiqua"/>
                <w:snapToGrid w:val="0"/>
                <w:sz w:val="24"/>
                <w:szCs w:val="24"/>
              </w:rPr>
            </w:pPr>
          </w:p>
          <w:p w14:paraId="68B99ABC" w14:textId="789315E9" w:rsidR="00CB5794" w:rsidRPr="00CB5794" w:rsidRDefault="00CB5794" w:rsidP="00F23B17">
            <w:pPr>
              <w:widowControl w:val="0"/>
              <w:shd w:val="clear" w:color="auto" w:fill="FF0000"/>
              <w:jc w:val="center"/>
              <w:rPr>
                <w:rFonts w:ascii="Book Antiqua" w:hAnsi="Book Antiqua"/>
                <w:snapToGrid w:val="0"/>
                <w:sz w:val="18"/>
                <w:szCs w:val="18"/>
              </w:rPr>
            </w:pPr>
            <w:r w:rsidRPr="00CB5794">
              <w:rPr>
                <w:rFonts w:ascii="Book Antiqua" w:hAnsi="Book Antiqua"/>
                <w:snapToGrid w:val="0"/>
                <w:sz w:val="18"/>
                <w:szCs w:val="18"/>
              </w:rPr>
              <w:t>art. 2, comma 594 e segg., dell</w:t>
            </w:r>
            <w:r w:rsidR="00600796">
              <w:rPr>
                <w:rFonts w:ascii="Book Antiqua" w:hAnsi="Book Antiqua"/>
                <w:snapToGrid w:val="0"/>
                <w:sz w:val="18"/>
                <w:szCs w:val="18"/>
              </w:rPr>
              <w:t>a</w:t>
            </w:r>
            <w:r w:rsidRPr="00CB5794">
              <w:rPr>
                <w:rFonts w:ascii="Book Antiqua" w:hAnsi="Book Antiqua"/>
                <w:snapToGrid w:val="0"/>
                <w:sz w:val="18"/>
                <w:szCs w:val="18"/>
              </w:rPr>
              <w:t xml:space="preserve"> legge n.</w:t>
            </w:r>
            <w:r w:rsidR="008A09B2">
              <w:rPr>
                <w:rFonts w:ascii="Book Antiqua" w:hAnsi="Book Antiqua"/>
                <w:snapToGrid w:val="0"/>
                <w:sz w:val="18"/>
                <w:szCs w:val="18"/>
              </w:rPr>
              <w:t xml:space="preserve"> </w:t>
            </w:r>
            <w:r w:rsidRPr="00CB5794">
              <w:rPr>
                <w:rFonts w:ascii="Book Antiqua" w:hAnsi="Book Antiqua"/>
                <w:snapToGrid w:val="0"/>
                <w:sz w:val="18"/>
                <w:szCs w:val="18"/>
              </w:rPr>
              <w:t>244/2007</w:t>
            </w:r>
          </w:p>
          <w:p w14:paraId="337213DC" w14:textId="77777777" w:rsidR="00CB5794" w:rsidRPr="00CB5794" w:rsidRDefault="00CB5794" w:rsidP="00F23B17">
            <w:pPr>
              <w:widowControl w:val="0"/>
              <w:shd w:val="clear" w:color="auto" w:fill="FF0000"/>
              <w:jc w:val="center"/>
              <w:rPr>
                <w:rFonts w:ascii="Book Antiqua" w:hAnsi="Book Antiqua"/>
                <w:i/>
                <w:snapToGrid w:val="0"/>
                <w:sz w:val="24"/>
                <w:szCs w:val="24"/>
              </w:rPr>
            </w:pPr>
          </w:p>
        </w:tc>
      </w:tr>
      <w:tr w:rsidR="007837DF" w:rsidRPr="003272B0" w14:paraId="4818A72E" w14:textId="77777777" w:rsidTr="006C1672">
        <w:trPr>
          <w:cantSplit/>
          <w:trHeight w:val="284"/>
        </w:trPr>
        <w:tc>
          <w:tcPr>
            <w:tcW w:w="10349" w:type="dxa"/>
            <w:gridSpan w:val="5"/>
            <w:tcBorders>
              <w:left w:val="single" w:sz="6" w:space="0" w:color="auto"/>
              <w:bottom w:val="single" w:sz="4" w:space="0" w:color="auto"/>
              <w:right w:val="single" w:sz="6" w:space="0" w:color="auto"/>
            </w:tcBorders>
            <w:shd w:val="pct5" w:color="auto" w:fill="auto"/>
          </w:tcPr>
          <w:p w14:paraId="534D9C87" w14:textId="21F9E136" w:rsidR="007837DF" w:rsidRPr="008F5865" w:rsidRDefault="007837DF" w:rsidP="007837DF">
            <w:pPr>
              <w:rPr>
                <w:rFonts w:ascii="Book Antiqua" w:hAnsi="Book Antiqua"/>
                <w:b/>
              </w:rPr>
            </w:pPr>
            <w:r>
              <w:rPr>
                <w:rFonts w:ascii="Book Antiqua" w:hAnsi="Book Antiqua"/>
                <w:b/>
              </w:rPr>
              <w:t>Ent</w:t>
            </w:r>
            <w:r w:rsidRPr="008F5865">
              <w:rPr>
                <w:rFonts w:ascii="Book Antiqua" w:hAnsi="Book Antiqua"/>
                <w:b/>
              </w:rPr>
              <w:t>e…………………………..</w:t>
            </w:r>
            <w:r w:rsidR="00EB5658">
              <w:rPr>
                <w:rFonts w:ascii="Book Antiqua" w:hAnsi="Book Antiqua"/>
                <w:b/>
              </w:rPr>
              <w:t xml:space="preserve">                                                                                            </w:t>
            </w:r>
          </w:p>
          <w:p w14:paraId="637AD6C2" w14:textId="77777777" w:rsidR="007837DF" w:rsidRPr="008F5865" w:rsidRDefault="007837DF" w:rsidP="007837DF">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Preparato da …………………………….                                                                         Data…………………………..</w:t>
            </w:r>
          </w:p>
          <w:p w14:paraId="7A8DCA02" w14:textId="77777777" w:rsidR="007837DF" w:rsidRDefault="007837DF" w:rsidP="007837DF">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 xml:space="preserve">Preparato da……………………………..                                                                    </w:t>
            </w:r>
            <w:r>
              <w:rPr>
                <w:rFonts w:ascii="Book Antiqua" w:hAnsi="Book Antiqua"/>
              </w:rPr>
              <w:t xml:space="preserve">     </w:t>
            </w:r>
            <w:r w:rsidRPr="008F5865">
              <w:rPr>
                <w:rFonts w:ascii="Book Antiqua" w:hAnsi="Book Antiqua"/>
              </w:rPr>
              <w:t>Data…………………………..</w:t>
            </w:r>
          </w:p>
          <w:p w14:paraId="2C8BA065" w14:textId="77777777" w:rsidR="007837DF" w:rsidRDefault="007837DF" w:rsidP="007837DF">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 xml:space="preserve">Preparato da……………………………..                                                                    </w:t>
            </w:r>
            <w:r>
              <w:rPr>
                <w:rFonts w:ascii="Book Antiqua" w:hAnsi="Book Antiqua"/>
              </w:rPr>
              <w:t xml:space="preserve">     </w:t>
            </w:r>
            <w:r w:rsidRPr="008F5865">
              <w:rPr>
                <w:rFonts w:ascii="Book Antiqua" w:hAnsi="Book Antiqua"/>
              </w:rPr>
              <w:t>Data…………………………..</w:t>
            </w:r>
          </w:p>
          <w:p w14:paraId="0A1E5111" w14:textId="77777777" w:rsidR="007837DF" w:rsidRDefault="007837DF" w:rsidP="00A17C3E">
            <w:pPr>
              <w:widowControl w:val="0"/>
              <w:shd w:val="pct5" w:color="auto" w:fill="auto"/>
              <w:spacing w:line="276" w:lineRule="auto"/>
              <w:jc w:val="center"/>
              <w:rPr>
                <w:rFonts w:ascii="Book Antiqua" w:hAnsi="Book Antiqua"/>
                <w:b/>
                <w:i/>
                <w:snapToGrid w:val="0"/>
                <w:sz w:val="24"/>
                <w:szCs w:val="24"/>
              </w:rPr>
            </w:pPr>
          </w:p>
        </w:tc>
      </w:tr>
      <w:tr w:rsidR="00AC732C" w:rsidRPr="003272B0" w14:paraId="642ECB52" w14:textId="77777777" w:rsidTr="00EA5C69">
        <w:trPr>
          <w:cantSplit/>
          <w:trHeight w:val="284"/>
        </w:trPr>
        <w:tc>
          <w:tcPr>
            <w:tcW w:w="5246" w:type="dxa"/>
            <w:tcBorders>
              <w:left w:val="single" w:sz="6" w:space="0" w:color="auto"/>
              <w:bottom w:val="single" w:sz="4" w:space="0" w:color="auto"/>
              <w:right w:val="single" w:sz="6" w:space="0" w:color="auto"/>
            </w:tcBorders>
            <w:shd w:val="pct5" w:color="auto" w:fill="auto"/>
          </w:tcPr>
          <w:p w14:paraId="116442E7" w14:textId="77777777" w:rsidR="00A17C3E" w:rsidRDefault="00A17C3E" w:rsidP="00A17C3E">
            <w:pPr>
              <w:widowControl w:val="0"/>
              <w:shd w:val="pct5" w:color="auto" w:fill="auto"/>
              <w:spacing w:line="276" w:lineRule="auto"/>
              <w:jc w:val="center"/>
              <w:rPr>
                <w:rFonts w:ascii="Book Antiqua" w:hAnsi="Book Antiqua"/>
                <w:b/>
                <w:i/>
                <w:snapToGrid w:val="0"/>
                <w:sz w:val="24"/>
                <w:szCs w:val="24"/>
              </w:rPr>
            </w:pPr>
          </w:p>
          <w:p w14:paraId="4E67574F" w14:textId="77777777" w:rsidR="00227EFB" w:rsidRPr="00E56E02" w:rsidRDefault="00E56E02"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DESCRIZIONE</w:t>
            </w:r>
          </w:p>
        </w:tc>
        <w:tc>
          <w:tcPr>
            <w:tcW w:w="567" w:type="dxa"/>
            <w:tcBorders>
              <w:top w:val="single" w:sz="4" w:space="0" w:color="auto"/>
              <w:left w:val="single" w:sz="6" w:space="0" w:color="auto"/>
              <w:bottom w:val="single" w:sz="6" w:space="0" w:color="auto"/>
              <w:right w:val="single" w:sz="6" w:space="0" w:color="auto"/>
            </w:tcBorders>
            <w:shd w:val="pct5" w:color="auto" w:fill="auto"/>
          </w:tcPr>
          <w:p w14:paraId="6D8D3ECC" w14:textId="77777777" w:rsidR="00EA5C69" w:rsidRDefault="00EA5C69" w:rsidP="00A17C3E">
            <w:pPr>
              <w:widowControl w:val="0"/>
              <w:shd w:val="pct5" w:color="auto" w:fill="auto"/>
              <w:spacing w:line="276" w:lineRule="auto"/>
              <w:jc w:val="center"/>
              <w:rPr>
                <w:rFonts w:ascii="Book Antiqua" w:hAnsi="Book Antiqua"/>
                <w:b/>
                <w:i/>
                <w:snapToGrid w:val="0"/>
                <w:sz w:val="24"/>
                <w:szCs w:val="24"/>
              </w:rPr>
            </w:pPr>
          </w:p>
          <w:p w14:paraId="5EAF14CA" w14:textId="77777777" w:rsidR="00227EFB" w:rsidRPr="00E56E02" w:rsidRDefault="00AC732C"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S</w:t>
            </w:r>
            <w:r w:rsidR="00A17C3E">
              <w:rPr>
                <w:rFonts w:ascii="Book Antiqua" w:hAnsi="Book Antiqua"/>
                <w:b/>
                <w:i/>
                <w:snapToGrid w:val="0"/>
                <w:sz w:val="24"/>
                <w:szCs w:val="24"/>
              </w:rPr>
              <w:t>i</w:t>
            </w:r>
          </w:p>
        </w:tc>
        <w:tc>
          <w:tcPr>
            <w:tcW w:w="567" w:type="dxa"/>
            <w:tcBorders>
              <w:top w:val="single" w:sz="4" w:space="0" w:color="auto"/>
              <w:left w:val="single" w:sz="6" w:space="0" w:color="auto"/>
              <w:bottom w:val="single" w:sz="6" w:space="0" w:color="auto"/>
              <w:right w:val="single" w:sz="6" w:space="0" w:color="auto"/>
            </w:tcBorders>
            <w:shd w:val="pct5" w:color="auto" w:fill="auto"/>
          </w:tcPr>
          <w:p w14:paraId="7DBD6CCF" w14:textId="77777777" w:rsidR="00EA5C69" w:rsidRDefault="00EA5C69" w:rsidP="00A17C3E">
            <w:pPr>
              <w:widowControl w:val="0"/>
              <w:shd w:val="pct5" w:color="auto" w:fill="auto"/>
              <w:spacing w:line="276" w:lineRule="auto"/>
              <w:jc w:val="center"/>
              <w:rPr>
                <w:rFonts w:ascii="Book Antiqua" w:hAnsi="Book Antiqua"/>
                <w:b/>
                <w:i/>
                <w:snapToGrid w:val="0"/>
                <w:sz w:val="24"/>
                <w:szCs w:val="24"/>
              </w:rPr>
            </w:pPr>
          </w:p>
          <w:p w14:paraId="670442D3" w14:textId="77777777" w:rsidR="00227EFB" w:rsidRPr="00E56E02" w:rsidRDefault="00AC732C"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w:t>
            </w:r>
            <w:r w:rsidR="00A17C3E">
              <w:rPr>
                <w:rFonts w:ascii="Book Antiqua" w:hAnsi="Book Antiqua"/>
                <w:b/>
                <w:i/>
                <w:snapToGrid w:val="0"/>
                <w:sz w:val="24"/>
                <w:szCs w:val="24"/>
              </w:rPr>
              <w:t>o</w:t>
            </w:r>
          </w:p>
        </w:tc>
        <w:tc>
          <w:tcPr>
            <w:tcW w:w="850" w:type="dxa"/>
            <w:tcBorders>
              <w:top w:val="single" w:sz="4" w:space="0" w:color="auto"/>
              <w:left w:val="single" w:sz="6" w:space="0" w:color="auto"/>
              <w:bottom w:val="single" w:sz="6" w:space="0" w:color="auto"/>
              <w:right w:val="single" w:sz="6" w:space="0" w:color="auto"/>
            </w:tcBorders>
            <w:shd w:val="pct5" w:color="auto" w:fill="auto"/>
          </w:tcPr>
          <w:p w14:paraId="29847BC9" w14:textId="77777777" w:rsidR="00227EFB" w:rsidRDefault="00AC732C" w:rsidP="00EA5C69">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N/A</w:t>
            </w:r>
          </w:p>
          <w:p w14:paraId="0376C240" w14:textId="0C6AA612" w:rsidR="00404733" w:rsidRPr="00E56E02" w:rsidRDefault="00A17C3E" w:rsidP="00A17C3E">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N/R</w:t>
            </w:r>
            <w:r w:rsidR="00404733">
              <w:rPr>
                <w:rFonts w:ascii="Book Antiqua" w:hAnsi="Book Antiqua"/>
                <w:b/>
                <w:i/>
                <w:snapToGrid w:val="0"/>
                <w:sz w:val="24"/>
                <w:szCs w:val="24"/>
              </w:rPr>
              <w:t>*</w:t>
            </w:r>
          </w:p>
        </w:tc>
        <w:tc>
          <w:tcPr>
            <w:tcW w:w="3119" w:type="dxa"/>
            <w:tcBorders>
              <w:top w:val="single" w:sz="4" w:space="0" w:color="auto"/>
              <w:left w:val="single" w:sz="6" w:space="0" w:color="auto"/>
              <w:bottom w:val="single" w:sz="6" w:space="0" w:color="auto"/>
              <w:right w:val="single" w:sz="6" w:space="0" w:color="auto"/>
            </w:tcBorders>
            <w:shd w:val="pct5" w:color="auto" w:fill="auto"/>
          </w:tcPr>
          <w:p w14:paraId="7E06C133" w14:textId="214D9AB1" w:rsidR="00227EFB" w:rsidRPr="00E56E02" w:rsidRDefault="00A17C3E" w:rsidP="00A17C3E">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Descrizione delle procedure svolte e delle evidenze prodotte - Commenti</w:t>
            </w:r>
          </w:p>
        </w:tc>
      </w:tr>
      <w:tr w:rsidR="00AC732C" w:rsidRPr="001818C5" w14:paraId="7551DA96"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4574EDE4" w14:textId="77777777" w:rsidR="001D7D1C" w:rsidRDefault="008D0A00" w:rsidP="00CB5794">
            <w:pPr>
              <w:widowControl w:val="0"/>
              <w:jc w:val="both"/>
              <w:rPr>
                <w:rFonts w:ascii="Book Antiqua" w:hAnsi="Book Antiqua"/>
                <w:snapToGrid w:val="0"/>
              </w:rPr>
            </w:pPr>
            <w:r w:rsidRPr="00CB5794">
              <w:rPr>
                <w:rFonts w:ascii="Book Antiqua" w:hAnsi="Book Antiqua"/>
                <w:snapToGrid w:val="0"/>
              </w:rPr>
              <w:t>Deliberazione di Giunta di approvazione del Piano triennale n. …… del ………</w:t>
            </w:r>
            <w:r w:rsidR="001D7D1C" w:rsidRPr="00CB5794">
              <w:rPr>
                <w:rFonts w:ascii="Book Antiqua" w:hAnsi="Book Antiqua"/>
                <w:snapToGrid w:val="0"/>
              </w:rPr>
              <w:t xml:space="preserve"> </w:t>
            </w:r>
          </w:p>
          <w:p w14:paraId="723AE420" w14:textId="16F80F70" w:rsidR="00227EFB" w:rsidRPr="00CB5794" w:rsidRDefault="001D7D1C" w:rsidP="00CB5794">
            <w:pPr>
              <w:widowControl w:val="0"/>
              <w:jc w:val="both"/>
              <w:rPr>
                <w:rFonts w:ascii="Book Antiqua" w:hAnsi="Book Antiqua"/>
                <w:snapToGrid w:val="0"/>
              </w:rPr>
            </w:pPr>
            <w:r w:rsidRPr="00CB5794">
              <w:rPr>
                <w:rFonts w:ascii="Book Antiqua" w:hAnsi="Book Antiqua"/>
                <w:snapToGrid w:val="0"/>
              </w:rPr>
              <w:t>Triennio di riferimento del</w:t>
            </w:r>
            <w:r>
              <w:rPr>
                <w:rFonts w:ascii="Book Antiqua" w:hAnsi="Book Antiqua"/>
                <w:snapToGrid w:val="0"/>
              </w:rPr>
              <w:t>l</w:t>
            </w:r>
            <w:r w:rsidRPr="00CB5794">
              <w:rPr>
                <w:rFonts w:ascii="Book Antiqua" w:hAnsi="Book Antiqua"/>
                <w:snapToGrid w:val="0"/>
              </w:rPr>
              <w:t>’ultimo Piano approvato</w:t>
            </w:r>
          </w:p>
        </w:tc>
        <w:tc>
          <w:tcPr>
            <w:tcW w:w="567" w:type="dxa"/>
            <w:tcBorders>
              <w:top w:val="single" w:sz="6" w:space="0" w:color="auto"/>
              <w:left w:val="nil"/>
              <w:bottom w:val="single" w:sz="6" w:space="0" w:color="auto"/>
              <w:right w:val="single" w:sz="6" w:space="0" w:color="auto"/>
            </w:tcBorders>
          </w:tcPr>
          <w:p w14:paraId="584E8993" w14:textId="77777777" w:rsidR="00227EFB" w:rsidRPr="001818C5" w:rsidRDefault="00227EFB"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800A03F" w14:textId="77777777" w:rsidR="00227EFB" w:rsidRPr="001818C5" w:rsidRDefault="00227EFB"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2B10748B" w14:textId="77777777" w:rsidR="00227EFB" w:rsidRPr="001818C5" w:rsidRDefault="00227EFB"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3153C24D" w14:textId="77777777" w:rsidR="00227EFB" w:rsidRPr="001818C5" w:rsidRDefault="00227EFB" w:rsidP="00104E8C">
            <w:pPr>
              <w:widowControl w:val="0"/>
              <w:jc w:val="center"/>
              <w:rPr>
                <w:rFonts w:ascii="Arial" w:hAnsi="Arial"/>
                <w:snapToGrid w:val="0"/>
              </w:rPr>
            </w:pPr>
          </w:p>
        </w:tc>
      </w:tr>
      <w:tr w:rsidR="00AC732C" w14:paraId="186F33E0" w14:textId="77777777" w:rsidTr="00EA5C69">
        <w:tc>
          <w:tcPr>
            <w:tcW w:w="5246" w:type="dxa"/>
            <w:tcBorders>
              <w:top w:val="single" w:sz="6" w:space="0" w:color="auto"/>
              <w:left w:val="single" w:sz="6" w:space="0" w:color="auto"/>
              <w:bottom w:val="single" w:sz="6" w:space="0" w:color="auto"/>
              <w:right w:val="single" w:sz="6" w:space="0" w:color="auto"/>
            </w:tcBorders>
          </w:tcPr>
          <w:p w14:paraId="28776717" w14:textId="4D77A11D" w:rsidR="00CB1E36" w:rsidRPr="00CB5794" w:rsidRDefault="009063E3" w:rsidP="009063E3">
            <w:pPr>
              <w:jc w:val="both"/>
              <w:rPr>
                <w:rFonts w:ascii="Book Antiqua" w:hAnsi="Book Antiqua"/>
                <w:snapToGrid w:val="0"/>
              </w:rPr>
            </w:pPr>
            <w:r w:rsidRPr="00CB5794">
              <w:rPr>
                <w:rFonts w:ascii="Book Antiqua" w:hAnsi="Book Antiqua"/>
                <w:snapToGrid w:val="0"/>
              </w:rPr>
              <w:t>Il Piano è stato a</w:t>
            </w:r>
            <w:r w:rsidR="008D0A00" w:rsidRPr="00CB5794">
              <w:rPr>
                <w:rFonts w:ascii="Book Antiqua" w:hAnsi="Book Antiqua"/>
                <w:snapToGrid w:val="0"/>
              </w:rPr>
              <w:t xml:space="preserve">pprovato autonomamente dal DUP/DUPS?   </w:t>
            </w:r>
          </w:p>
        </w:tc>
        <w:tc>
          <w:tcPr>
            <w:tcW w:w="567" w:type="dxa"/>
            <w:tcBorders>
              <w:top w:val="single" w:sz="6" w:space="0" w:color="auto"/>
              <w:left w:val="single" w:sz="6" w:space="0" w:color="auto"/>
              <w:bottom w:val="single" w:sz="6" w:space="0" w:color="auto"/>
              <w:right w:val="single" w:sz="6" w:space="0" w:color="auto"/>
            </w:tcBorders>
          </w:tcPr>
          <w:p w14:paraId="07BA99D4" w14:textId="77777777" w:rsidR="00227EFB" w:rsidRDefault="00227EFB"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1CABFD89" w14:textId="77777777" w:rsidR="00227EFB" w:rsidRDefault="00227EFB"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0D2A27FF" w14:textId="77777777" w:rsidR="00227EFB" w:rsidRDefault="00227EFB"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254D1018" w14:textId="77777777" w:rsidR="00227EFB" w:rsidRDefault="00227EFB" w:rsidP="00104E8C">
            <w:pPr>
              <w:widowControl w:val="0"/>
              <w:jc w:val="center"/>
              <w:rPr>
                <w:rFonts w:ascii="Arial" w:hAnsi="Arial"/>
                <w:snapToGrid w:val="0"/>
              </w:rPr>
            </w:pPr>
          </w:p>
        </w:tc>
      </w:tr>
      <w:tr w:rsidR="00EF2114" w:rsidRPr="00EF2114" w14:paraId="4478EA24" w14:textId="77777777" w:rsidTr="00F23B17">
        <w:trPr>
          <w:trHeight w:val="508"/>
        </w:trPr>
        <w:tc>
          <w:tcPr>
            <w:tcW w:w="5246" w:type="dxa"/>
            <w:tcBorders>
              <w:top w:val="single" w:sz="6" w:space="0" w:color="auto"/>
              <w:left w:val="single" w:sz="6" w:space="0" w:color="auto"/>
              <w:bottom w:val="single" w:sz="6" w:space="0" w:color="auto"/>
              <w:right w:val="single" w:sz="6" w:space="0" w:color="auto"/>
            </w:tcBorders>
          </w:tcPr>
          <w:p w14:paraId="7D25D2F7" w14:textId="22DF4EB6" w:rsidR="00EF2114" w:rsidRPr="00CB5794" w:rsidRDefault="008D0A00" w:rsidP="008D0A00">
            <w:pPr>
              <w:spacing w:before="100" w:beforeAutospacing="1" w:after="100" w:afterAutospacing="1"/>
              <w:jc w:val="both"/>
              <w:rPr>
                <w:rFonts w:ascii="Book Antiqua" w:hAnsi="Book Antiqua"/>
                <w:snapToGrid w:val="0"/>
              </w:rPr>
            </w:pPr>
            <w:r w:rsidRPr="00CB5794">
              <w:rPr>
                <w:rFonts w:ascii="Book Antiqua" w:hAnsi="Book Antiqua"/>
                <w:snapToGrid w:val="0"/>
              </w:rPr>
              <w:t>L’Organo di revisione ha reso il parere sul Piano?</w:t>
            </w:r>
          </w:p>
        </w:tc>
        <w:tc>
          <w:tcPr>
            <w:tcW w:w="567" w:type="dxa"/>
            <w:tcBorders>
              <w:top w:val="single" w:sz="6" w:space="0" w:color="auto"/>
              <w:left w:val="single" w:sz="6" w:space="0" w:color="auto"/>
              <w:bottom w:val="single" w:sz="6" w:space="0" w:color="auto"/>
              <w:right w:val="single" w:sz="6" w:space="0" w:color="auto"/>
            </w:tcBorders>
          </w:tcPr>
          <w:p w14:paraId="2F1B4F95" w14:textId="77777777" w:rsidR="00EF2114" w:rsidRPr="00EF2114" w:rsidRDefault="00EF2114" w:rsidP="00EF2114">
            <w:pPr>
              <w:spacing w:before="100" w:beforeAutospacing="1" w:after="100" w:afterAutospacing="1"/>
              <w:jc w:val="both"/>
              <w:rPr>
                <w:rFonts w:ascii="Book Antiqua" w:hAnsi="Book Antiqua"/>
                <w:b/>
                <w:snapToGrid w:val="0"/>
              </w:rPr>
            </w:pPr>
          </w:p>
        </w:tc>
        <w:tc>
          <w:tcPr>
            <w:tcW w:w="567" w:type="dxa"/>
            <w:tcBorders>
              <w:top w:val="single" w:sz="6" w:space="0" w:color="auto"/>
              <w:left w:val="single" w:sz="6" w:space="0" w:color="auto"/>
              <w:bottom w:val="single" w:sz="6" w:space="0" w:color="auto"/>
              <w:right w:val="single" w:sz="6" w:space="0" w:color="auto"/>
            </w:tcBorders>
          </w:tcPr>
          <w:p w14:paraId="45C8D8BA" w14:textId="77777777" w:rsidR="00EF2114" w:rsidRPr="00EF2114" w:rsidRDefault="00EF2114" w:rsidP="00EF2114">
            <w:pPr>
              <w:spacing w:before="100" w:beforeAutospacing="1" w:after="100" w:afterAutospacing="1"/>
              <w:jc w:val="both"/>
              <w:rPr>
                <w:rFonts w:ascii="Book Antiqua" w:hAnsi="Book Antiqua"/>
                <w:b/>
                <w:snapToGrid w:val="0"/>
              </w:rPr>
            </w:pPr>
          </w:p>
        </w:tc>
        <w:tc>
          <w:tcPr>
            <w:tcW w:w="850" w:type="dxa"/>
            <w:tcBorders>
              <w:top w:val="single" w:sz="6" w:space="0" w:color="auto"/>
              <w:left w:val="single" w:sz="6" w:space="0" w:color="auto"/>
              <w:bottom w:val="single" w:sz="6" w:space="0" w:color="auto"/>
              <w:right w:val="single" w:sz="6" w:space="0" w:color="auto"/>
            </w:tcBorders>
          </w:tcPr>
          <w:p w14:paraId="452F29FE" w14:textId="77777777" w:rsidR="00EF2114" w:rsidRPr="00EF2114" w:rsidRDefault="00EF2114" w:rsidP="00EF2114">
            <w:pPr>
              <w:spacing w:before="100" w:beforeAutospacing="1" w:after="100" w:afterAutospacing="1"/>
              <w:jc w:val="both"/>
              <w:rPr>
                <w:rFonts w:ascii="Book Antiqua" w:hAnsi="Book Antiqua"/>
                <w:b/>
                <w:snapToGrid w:val="0"/>
              </w:rPr>
            </w:pPr>
          </w:p>
        </w:tc>
        <w:tc>
          <w:tcPr>
            <w:tcW w:w="3119" w:type="dxa"/>
            <w:tcBorders>
              <w:top w:val="single" w:sz="6" w:space="0" w:color="auto"/>
              <w:left w:val="single" w:sz="6" w:space="0" w:color="auto"/>
              <w:bottom w:val="single" w:sz="6" w:space="0" w:color="auto"/>
              <w:right w:val="single" w:sz="6" w:space="0" w:color="auto"/>
            </w:tcBorders>
          </w:tcPr>
          <w:p w14:paraId="3D6AC79F" w14:textId="77777777" w:rsidR="00EF2114" w:rsidRPr="00EF2114" w:rsidRDefault="00EF2114" w:rsidP="00EF2114">
            <w:pPr>
              <w:spacing w:before="100" w:beforeAutospacing="1" w:after="100" w:afterAutospacing="1"/>
              <w:jc w:val="both"/>
              <w:rPr>
                <w:rFonts w:ascii="Book Antiqua" w:hAnsi="Book Antiqua"/>
                <w:b/>
                <w:snapToGrid w:val="0"/>
              </w:rPr>
            </w:pPr>
          </w:p>
        </w:tc>
      </w:tr>
      <w:tr w:rsidR="00E53BC5" w:rsidRPr="00EF2114" w14:paraId="3AFD917A" w14:textId="77777777" w:rsidTr="009063E3">
        <w:trPr>
          <w:trHeight w:val="430"/>
        </w:trPr>
        <w:tc>
          <w:tcPr>
            <w:tcW w:w="5246" w:type="dxa"/>
            <w:tcBorders>
              <w:top w:val="single" w:sz="6" w:space="0" w:color="auto"/>
              <w:left w:val="single" w:sz="6" w:space="0" w:color="auto"/>
              <w:bottom w:val="single" w:sz="6" w:space="0" w:color="auto"/>
              <w:right w:val="single" w:sz="6" w:space="0" w:color="auto"/>
            </w:tcBorders>
          </w:tcPr>
          <w:p w14:paraId="6DBB3693" w14:textId="4A05FB7A" w:rsidR="00E53BC5" w:rsidRPr="00CB5794" w:rsidRDefault="008D0A00" w:rsidP="008D0A00">
            <w:pPr>
              <w:spacing w:before="100" w:beforeAutospacing="1" w:after="100" w:afterAutospacing="1"/>
              <w:jc w:val="both"/>
              <w:rPr>
                <w:rFonts w:ascii="Book Antiqua" w:hAnsi="Book Antiqua"/>
                <w:snapToGrid w:val="0"/>
              </w:rPr>
            </w:pPr>
            <w:r w:rsidRPr="00CB5794">
              <w:rPr>
                <w:rFonts w:ascii="Book Antiqua" w:hAnsi="Book Antiqua"/>
                <w:snapToGrid w:val="0"/>
              </w:rPr>
              <w:t>Il Piano è stato inserito nel DUP/DUPS?</w:t>
            </w:r>
          </w:p>
        </w:tc>
        <w:tc>
          <w:tcPr>
            <w:tcW w:w="567" w:type="dxa"/>
            <w:tcBorders>
              <w:top w:val="single" w:sz="6" w:space="0" w:color="auto"/>
              <w:left w:val="single" w:sz="6" w:space="0" w:color="auto"/>
              <w:bottom w:val="single" w:sz="6" w:space="0" w:color="auto"/>
              <w:right w:val="single" w:sz="6" w:space="0" w:color="auto"/>
            </w:tcBorders>
          </w:tcPr>
          <w:p w14:paraId="42299AE4" w14:textId="77777777" w:rsidR="00E53BC5" w:rsidRPr="00EF2114" w:rsidRDefault="00E53BC5" w:rsidP="00EF2114">
            <w:pPr>
              <w:spacing w:before="100" w:beforeAutospacing="1" w:after="100" w:afterAutospacing="1"/>
              <w:jc w:val="both"/>
              <w:rPr>
                <w:rFonts w:ascii="Book Antiqua" w:hAnsi="Book Antiqua"/>
                <w:b/>
                <w:snapToGrid w:val="0"/>
              </w:rPr>
            </w:pPr>
          </w:p>
        </w:tc>
        <w:tc>
          <w:tcPr>
            <w:tcW w:w="567" w:type="dxa"/>
            <w:tcBorders>
              <w:top w:val="single" w:sz="6" w:space="0" w:color="auto"/>
              <w:left w:val="single" w:sz="6" w:space="0" w:color="auto"/>
              <w:bottom w:val="single" w:sz="6" w:space="0" w:color="auto"/>
              <w:right w:val="single" w:sz="6" w:space="0" w:color="auto"/>
            </w:tcBorders>
          </w:tcPr>
          <w:p w14:paraId="5127EF79" w14:textId="77777777" w:rsidR="00E53BC5" w:rsidRPr="00EF2114" w:rsidRDefault="00E53BC5" w:rsidP="00EF2114">
            <w:pPr>
              <w:spacing w:before="100" w:beforeAutospacing="1" w:after="100" w:afterAutospacing="1"/>
              <w:jc w:val="both"/>
              <w:rPr>
                <w:rFonts w:ascii="Book Antiqua" w:hAnsi="Book Antiqua"/>
                <w:b/>
                <w:snapToGrid w:val="0"/>
              </w:rPr>
            </w:pPr>
          </w:p>
        </w:tc>
        <w:tc>
          <w:tcPr>
            <w:tcW w:w="850" w:type="dxa"/>
            <w:tcBorders>
              <w:top w:val="single" w:sz="6" w:space="0" w:color="auto"/>
              <w:left w:val="single" w:sz="6" w:space="0" w:color="auto"/>
              <w:bottom w:val="single" w:sz="6" w:space="0" w:color="auto"/>
              <w:right w:val="single" w:sz="6" w:space="0" w:color="auto"/>
            </w:tcBorders>
          </w:tcPr>
          <w:p w14:paraId="041ADC36" w14:textId="77777777" w:rsidR="00E53BC5" w:rsidRPr="00EF2114" w:rsidRDefault="00E53BC5" w:rsidP="00EF2114">
            <w:pPr>
              <w:spacing w:before="100" w:beforeAutospacing="1" w:after="100" w:afterAutospacing="1"/>
              <w:jc w:val="both"/>
              <w:rPr>
                <w:rFonts w:ascii="Book Antiqua" w:hAnsi="Book Antiqua"/>
                <w:b/>
                <w:snapToGrid w:val="0"/>
              </w:rPr>
            </w:pPr>
          </w:p>
        </w:tc>
        <w:tc>
          <w:tcPr>
            <w:tcW w:w="3119" w:type="dxa"/>
            <w:tcBorders>
              <w:top w:val="single" w:sz="6" w:space="0" w:color="auto"/>
              <w:left w:val="single" w:sz="6" w:space="0" w:color="auto"/>
              <w:bottom w:val="single" w:sz="6" w:space="0" w:color="auto"/>
              <w:right w:val="single" w:sz="6" w:space="0" w:color="auto"/>
            </w:tcBorders>
          </w:tcPr>
          <w:p w14:paraId="157EC2A3" w14:textId="77777777" w:rsidR="00E53BC5" w:rsidRPr="00EF2114" w:rsidRDefault="00E53BC5" w:rsidP="00EF2114">
            <w:pPr>
              <w:spacing w:before="100" w:beforeAutospacing="1" w:after="100" w:afterAutospacing="1"/>
              <w:jc w:val="both"/>
              <w:rPr>
                <w:rFonts w:ascii="Book Antiqua" w:hAnsi="Book Antiqua"/>
                <w:b/>
                <w:snapToGrid w:val="0"/>
              </w:rPr>
            </w:pPr>
          </w:p>
        </w:tc>
      </w:tr>
      <w:tr w:rsidR="008D0A00" w:rsidRPr="00EF2114" w14:paraId="4343A088" w14:textId="77777777" w:rsidTr="008D0A00">
        <w:trPr>
          <w:trHeight w:val="598"/>
        </w:trPr>
        <w:tc>
          <w:tcPr>
            <w:tcW w:w="5246" w:type="dxa"/>
            <w:tcBorders>
              <w:top w:val="single" w:sz="6" w:space="0" w:color="auto"/>
              <w:left w:val="single" w:sz="6" w:space="0" w:color="auto"/>
              <w:bottom w:val="single" w:sz="6" w:space="0" w:color="auto"/>
              <w:right w:val="single" w:sz="6" w:space="0" w:color="auto"/>
            </w:tcBorders>
          </w:tcPr>
          <w:p w14:paraId="2CC2B9E2" w14:textId="17253D8A" w:rsidR="008D0A00" w:rsidRPr="00CB5794" w:rsidRDefault="008D0A00" w:rsidP="008D0A00">
            <w:pPr>
              <w:spacing w:before="100" w:beforeAutospacing="1" w:after="100" w:afterAutospacing="1"/>
              <w:jc w:val="both"/>
              <w:rPr>
                <w:rFonts w:ascii="Book Antiqua" w:hAnsi="Book Antiqua"/>
                <w:snapToGrid w:val="0"/>
              </w:rPr>
            </w:pPr>
            <w:r w:rsidRPr="00CB5794">
              <w:rPr>
                <w:rFonts w:ascii="Book Antiqua" w:hAnsi="Book Antiqua"/>
                <w:snapToGrid w:val="0"/>
              </w:rPr>
              <w:t xml:space="preserve">Il piano individua tutte e </w:t>
            </w:r>
            <w:r w:rsidR="003E1740">
              <w:rPr>
                <w:rFonts w:ascii="Book Antiqua" w:hAnsi="Book Antiqua"/>
                <w:snapToGrid w:val="0"/>
              </w:rPr>
              <w:t>tre</w:t>
            </w:r>
            <w:r w:rsidRPr="00CB5794">
              <w:rPr>
                <w:rFonts w:ascii="Book Antiqua" w:hAnsi="Book Antiqua"/>
                <w:snapToGrid w:val="0"/>
              </w:rPr>
              <w:t xml:space="preserve"> le misure di razionalizzazione?</w:t>
            </w:r>
          </w:p>
        </w:tc>
        <w:tc>
          <w:tcPr>
            <w:tcW w:w="567" w:type="dxa"/>
            <w:tcBorders>
              <w:top w:val="single" w:sz="6" w:space="0" w:color="auto"/>
              <w:left w:val="single" w:sz="6" w:space="0" w:color="auto"/>
              <w:bottom w:val="single" w:sz="6" w:space="0" w:color="auto"/>
              <w:right w:val="single" w:sz="6" w:space="0" w:color="auto"/>
            </w:tcBorders>
          </w:tcPr>
          <w:p w14:paraId="4561CE4B"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567" w:type="dxa"/>
            <w:tcBorders>
              <w:top w:val="single" w:sz="6" w:space="0" w:color="auto"/>
              <w:left w:val="single" w:sz="6" w:space="0" w:color="auto"/>
              <w:bottom w:val="single" w:sz="6" w:space="0" w:color="auto"/>
              <w:right w:val="single" w:sz="6" w:space="0" w:color="auto"/>
            </w:tcBorders>
          </w:tcPr>
          <w:p w14:paraId="5434001E"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850" w:type="dxa"/>
            <w:tcBorders>
              <w:top w:val="single" w:sz="6" w:space="0" w:color="auto"/>
              <w:left w:val="single" w:sz="6" w:space="0" w:color="auto"/>
              <w:bottom w:val="single" w:sz="6" w:space="0" w:color="auto"/>
              <w:right w:val="single" w:sz="6" w:space="0" w:color="auto"/>
            </w:tcBorders>
          </w:tcPr>
          <w:p w14:paraId="69F555D0"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3119" w:type="dxa"/>
            <w:tcBorders>
              <w:top w:val="single" w:sz="6" w:space="0" w:color="auto"/>
              <w:left w:val="single" w:sz="6" w:space="0" w:color="auto"/>
              <w:bottom w:val="single" w:sz="6" w:space="0" w:color="auto"/>
              <w:right w:val="single" w:sz="6" w:space="0" w:color="auto"/>
            </w:tcBorders>
          </w:tcPr>
          <w:p w14:paraId="03EA0161" w14:textId="77777777" w:rsidR="008D0A00" w:rsidRPr="00EF2114" w:rsidRDefault="008D0A00" w:rsidP="00EF2114">
            <w:pPr>
              <w:spacing w:before="100" w:beforeAutospacing="1" w:after="100" w:afterAutospacing="1"/>
              <w:jc w:val="both"/>
              <w:rPr>
                <w:rFonts w:ascii="Book Antiqua" w:hAnsi="Book Antiqua"/>
                <w:b/>
                <w:snapToGrid w:val="0"/>
              </w:rPr>
            </w:pPr>
          </w:p>
        </w:tc>
      </w:tr>
      <w:tr w:rsidR="008D0A00" w:rsidRPr="00EF2114" w14:paraId="1AC5092D" w14:textId="77777777" w:rsidTr="008D0A00">
        <w:trPr>
          <w:trHeight w:val="598"/>
        </w:trPr>
        <w:tc>
          <w:tcPr>
            <w:tcW w:w="5246" w:type="dxa"/>
            <w:tcBorders>
              <w:top w:val="single" w:sz="6" w:space="0" w:color="auto"/>
              <w:left w:val="single" w:sz="6" w:space="0" w:color="auto"/>
              <w:bottom w:val="single" w:sz="6" w:space="0" w:color="auto"/>
              <w:right w:val="single" w:sz="6" w:space="0" w:color="auto"/>
            </w:tcBorders>
          </w:tcPr>
          <w:p w14:paraId="14726763" w14:textId="0AB69D1F" w:rsidR="008D0A00" w:rsidRPr="00CB5794" w:rsidRDefault="008D0A00" w:rsidP="008D0A00">
            <w:pPr>
              <w:spacing w:before="100" w:beforeAutospacing="1" w:after="100" w:afterAutospacing="1"/>
              <w:jc w:val="both"/>
              <w:rPr>
                <w:rFonts w:ascii="Book Antiqua" w:hAnsi="Book Antiqua"/>
                <w:snapToGrid w:val="0"/>
              </w:rPr>
            </w:pPr>
            <w:r w:rsidRPr="00CB5794">
              <w:rPr>
                <w:rFonts w:ascii="Book Antiqua" w:hAnsi="Book Antiqua"/>
                <w:snapToGrid w:val="0"/>
              </w:rPr>
              <w:t>La relazione consuntiva annuale del Piano è stata trasmessa agli Organi di controllo interno?</w:t>
            </w:r>
          </w:p>
        </w:tc>
        <w:tc>
          <w:tcPr>
            <w:tcW w:w="567" w:type="dxa"/>
            <w:tcBorders>
              <w:top w:val="single" w:sz="6" w:space="0" w:color="auto"/>
              <w:left w:val="single" w:sz="6" w:space="0" w:color="auto"/>
              <w:bottom w:val="single" w:sz="6" w:space="0" w:color="auto"/>
              <w:right w:val="single" w:sz="6" w:space="0" w:color="auto"/>
            </w:tcBorders>
          </w:tcPr>
          <w:p w14:paraId="03F4FC9D"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567" w:type="dxa"/>
            <w:tcBorders>
              <w:top w:val="single" w:sz="6" w:space="0" w:color="auto"/>
              <w:left w:val="single" w:sz="6" w:space="0" w:color="auto"/>
              <w:bottom w:val="single" w:sz="6" w:space="0" w:color="auto"/>
              <w:right w:val="single" w:sz="6" w:space="0" w:color="auto"/>
            </w:tcBorders>
          </w:tcPr>
          <w:p w14:paraId="688BB6A0"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850" w:type="dxa"/>
            <w:tcBorders>
              <w:top w:val="single" w:sz="6" w:space="0" w:color="auto"/>
              <w:left w:val="single" w:sz="6" w:space="0" w:color="auto"/>
              <w:bottom w:val="single" w:sz="6" w:space="0" w:color="auto"/>
              <w:right w:val="single" w:sz="6" w:space="0" w:color="auto"/>
            </w:tcBorders>
          </w:tcPr>
          <w:p w14:paraId="52E9FCAE"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3119" w:type="dxa"/>
            <w:tcBorders>
              <w:top w:val="single" w:sz="6" w:space="0" w:color="auto"/>
              <w:left w:val="single" w:sz="6" w:space="0" w:color="auto"/>
              <w:bottom w:val="single" w:sz="6" w:space="0" w:color="auto"/>
              <w:right w:val="single" w:sz="6" w:space="0" w:color="auto"/>
            </w:tcBorders>
          </w:tcPr>
          <w:p w14:paraId="758F6FE8" w14:textId="77777777" w:rsidR="008D0A00" w:rsidRPr="00EF2114" w:rsidRDefault="008D0A00" w:rsidP="00EF2114">
            <w:pPr>
              <w:spacing w:before="100" w:beforeAutospacing="1" w:after="100" w:afterAutospacing="1"/>
              <w:jc w:val="both"/>
              <w:rPr>
                <w:rFonts w:ascii="Book Antiqua" w:hAnsi="Book Antiqua"/>
                <w:b/>
                <w:snapToGrid w:val="0"/>
              </w:rPr>
            </w:pPr>
          </w:p>
        </w:tc>
      </w:tr>
      <w:tr w:rsidR="008D0A00" w:rsidRPr="00EF2114" w14:paraId="1B17B5DB" w14:textId="77777777" w:rsidTr="008D0A00">
        <w:trPr>
          <w:trHeight w:val="598"/>
        </w:trPr>
        <w:tc>
          <w:tcPr>
            <w:tcW w:w="5246" w:type="dxa"/>
            <w:tcBorders>
              <w:top w:val="single" w:sz="6" w:space="0" w:color="auto"/>
              <w:left w:val="single" w:sz="6" w:space="0" w:color="auto"/>
              <w:bottom w:val="single" w:sz="6" w:space="0" w:color="auto"/>
              <w:right w:val="single" w:sz="6" w:space="0" w:color="auto"/>
            </w:tcBorders>
          </w:tcPr>
          <w:p w14:paraId="13FDBA6C" w14:textId="7401C5A0" w:rsidR="008D0A00" w:rsidRPr="00CB5794" w:rsidRDefault="008D0A00" w:rsidP="00FE52F7">
            <w:pPr>
              <w:spacing w:before="100" w:beforeAutospacing="1" w:after="100" w:afterAutospacing="1"/>
              <w:jc w:val="both"/>
              <w:rPr>
                <w:rFonts w:ascii="Book Antiqua" w:hAnsi="Book Antiqua"/>
                <w:snapToGrid w:val="0"/>
              </w:rPr>
            </w:pPr>
            <w:r w:rsidRPr="00CB5794">
              <w:rPr>
                <w:rFonts w:ascii="Book Antiqua" w:hAnsi="Book Antiqua"/>
                <w:snapToGrid w:val="0"/>
              </w:rPr>
              <w:t xml:space="preserve">La relazione consuntiva annuale del Piano è stata trasmessa alla Sez. Reg. della Corte dei </w:t>
            </w:r>
            <w:r w:rsidR="001D7D1C">
              <w:rPr>
                <w:rFonts w:ascii="Book Antiqua" w:hAnsi="Book Antiqua"/>
                <w:snapToGrid w:val="0"/>
              </w:rPr>
              <w:t>c</w:t>
            </w:r>
            <w:r w:rsidRPr="00CB5794">
              <w:rPr>
                <w:rFonts w:ascii="Book Antiqua" w:hAnsi="Book Antiqua"/>
                <w:snapToGrid w:val="0"/>
              </w:rPr>
              <w:t>onti?</w:t>
            </w:r>
          </w:p>
        </w:tc>
        <w:tc>
          <w:tcPr>
            <w:tcW w:w="567" w:type="dxa"/>
            <w:tcBorders>
              <w:top w:val="single" w:sz="6" w:space="0" w:color="auto"/>
              <w:left w:val="single" w:sz="6" w:space="0" w:color="auto"/>
              <w:bottom w:val="single" w:sz="6" w:space="0" w:color="auto"/>
              <w:right w:val="single" w:sz="6" w:space="0" w:color="auto"/>
            </w:tcBorders>
          </w:tcPr>
          <w:p w14:paraId="07E5881F"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567" w:type="dxa"/>
            <w:tcBorders>
              <w:top w:val="single" w:sz="6" w:space="0" w:color="auto"/>
              <w:left w:val="single" w:sz="6" w:space="0" w:color="auto"/>
              <w:bottom w:val="single" w:sz="6" w:space="0" w:color="auto"/>
              <w:right w:val="single" w:sz="6" w:space="0" w:color="auto"/>
            </w:tcBorders>
          </w:tcPr>
          <w:p w14:paraId="0BA3BA4C"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850" w:type="dxa"/>
            <w:tcBorders>
              <w:top w:val="single" w:sz="6" w:space="0" w:color="auto"/>
              <w:left w:val="single" w:sz="6" w:space="0" w:color="auto"/>
              <w:bottom w:val="single" w:sz="6" w:space="0" w:color="auto"/>
              <w:right w:val="single" w:sz="6" w:space="0" w:color="auto"/>
            </w:tcBorders>
          </w:tcPr>
          <w:p w14:paraId="232EAF75"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3119" w:type="dxa"/>
            <w:tcBorders>
              <w:top w:val="single" w:sz="6" w:space="0" w:color="auto"/>
              <w:left w:val="single" w:sz="6" w:space="0" w:color="auto"/>
              <w:bottom w:val="single" w:sz="6" w:space="0" w:color="auto"/>
              <w:right w:val="single" w:sz="6" w:space="0" w:color="auto"/>
            </w:tcBorders>
          </w:tcPr>
          <w:p w14:paraId="510DD7AC" w14:textId="77777777" w:rsidR="008D0A00" w:rsidRPr="00EF2114" w:rsidRDefault="008D0A00" w:rsidP="00EF2114">
            <w:pPr>
              <w:spacing w:before="100" w:beforeAutospacing="1" w:after="100" w:afterAutospacing="1"/>
              <w:jc w:val="both"/>
              <w:rPr>
                <w:rFonts w:ascii="Book Antiqua" w:hAnsi="Book Antiqua"/>
                <w:b/>
                <w:snapToGrid w:val="0"/>
              </w:rPr>
            </w:pPr>
          </w:p>
        </w:tc>
      </w:tr>
      <w:tr w:rsidR="008D0A00" w:rsidRPr="00EF2114" w14:paraId="768BF813" w14:textId="77777777" w:rsidTr="008D0A00">
        <w:trPr>
          <w:trHeight w:val="598"/>
        </w:trPr>
        <w:tc>
          <w:tcPr>
            <w:tcW w:w="5246" w:type="dxa"/>
            <w:tcBorders>
              <w:top w:val="single" w:sz="6" w:space="0" w:color="auto"/>
              <w:left w:val="single" w:sz="6" w:space="0" w:color="auto"/>
              <w:bottom w:val="single" w:sz="6" w:space="0" w:color="auto"/>
              <w:right w:val="single" w:sz="6" w:space="0" w:color="auto"/>
            </w:tcBorders>
          </w:tcPr>
          <w:p w14:paraId="77A85A43" w14:textId="5FFCF679" w:rsidR="008D0A00" w:rsidRPr="00CB5794" w:rsidRDefault="008D0A00" w:rsidP="008D0A00">
            <w:pPr>
              <w:spacing w:before="100" w:beforeAutospacing="1" w:after="100" w:afterAutospacing="1"/>
              <w:jc w:val="both"/>
              <w:rPr>
                <w:rFonts w:ascii="Book Antiqua" w:hAnsi="Book Antiqua"/>
                <w:snapToGrid w:val="0"/>
              </w:rPr>
            </w:pPr>
            <w:r w:rsidRPr="00CB5794">
              <w:rPr>
                <w:rFonts w:ascii="Book Antiqua" w:hAnsi="Book Antiqua"/>
                <w:snapToGrid w:val="0"/>
              </w:rPr>
              <w:t xml:space="preserve">Il Piano triennale è stato reso pubblico con le modalità ex art. 11 </w:t>
            </w:r>
            <w:proofErr w:type="spellStart"/>
            <w:r w:rsidRPr="00CB5794">
              <w:rPr>
                <w:rFonts w:ascii="Book Antiqua" w:hAnsi="Book Antiqua"/>
                <w:snapToGrid w:val="0"/>
              </w:rPr>
              <w:t>D.lgs</w:t>
            </w:r>
            <w:proofErr w:type="spellEnd"/>
            <w:r w:rsidRPr="00CB5794">
              <w:rPr>
                <w:rFonts w:ascii="Book Antiqua" w:hAnsi="Book Antiqua"/>
                <w:snapToGrid w:val="0"/>
              </w:rPr>
              <w:t xml:space="preserve"> n.165/2001 e art. 54 </w:t>
            </w:r>
            <w:proofErr w:type="spellStart"/>
            <w:r w:rsidRPr="00CB5794">
              <w:rPr>
                <w:rFonts w:ascii="Book Antiqua" w:hAnsi="Book Antiqua"/>
                <w:snapToGrid w:val="0"/>
              </w:rPr>
              <w:t>D.Lgs</w:t>
            </w:r>
            <w:proofErr w:type="spellEnd"/>
            <w:r w:rsidRPr="00CB5794">
              <w:rPr>
                <w:rFonts w:ascii="Book Antiqua" w:hAnsi="Book Antiqua"/>
                <w:snapToGrid w:val="0"/>
              </w:rPr>
              <w:t xml:space="preserve"> n. 82/2005</w:t>
            </w:r>
            <w:r w:rsidR="001D7D1C">
              <w:rPr>
                <w:rFonts w:ascii="Book Antiqua" w:hAnsi="Book Antiqua"/>
                <w:snapToGrid w:val="0"/>
              </w:rPr>
              <w:t>?</w:t>
            </w:r>
          </w:p>
        </w:tc>
        <w:tc>
          <w:tcPr>
            <w:tcW w:w="567" w:type="dxa"/>
            <w:tcBorders>
              <w:top w:val="single" w:sz="6" w:space="0" w:color="auto"/>
              <w:left w:val="single" w:sz="6" w:space="0" w:color="auto"/>
              <w:bottom w:val="single" w:sz="6" w:space="0" w:color="auto"/>
              <w:right w:val="single" w:sz="6" w:space="0" w:color="auto"/>
            </w:tcBorders>
          </w:tcPr>
          <w:p w14:paraId="109BB607"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567" w:type="dxa"/>
            <w:tcBorders>
              <w:top w:val="single" w:sz="6" w:space="0" w:color="auto"/>
              <w:left w:val="single" w:sz="6" w:space="0" w:color="auto"/>
              <w:bottom w:val="single" w:sz="6" w:space="0" w:color="auto"/>
              <w:right w:val="single" w:sz="6" w:space="0" w:color="auto"/>
            </w:tcBorders>
          </w:tcPr>
          <w:p w14:paraId="40A2DD6B"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850" w:type="dxa"/>
            <w:tcBorders>
              <w:top w:val="single" w:sz="6" w:space="0" w:color="auto"/>
              <w:left w:val="single" w:sz="6" w:space="0" w:color="auto"/>
              <w:bottom w:val="single" w:sz="6" w:space="0" w:color="auto"/>
              <w:right w:val="single" w:sz="6" w:space="0" w:color="auto"/>
            </w:tcBorders>
          </w:tcPr>
          <w:p w14:paraId="43153886"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3119" w:type="dxa"/>
            <w:tcBorders>
              <w:top w:val="single" w:sz="6" w:space="0" w:color="auto"/>
              <w:left w:val="single" w:sz="6" w:space="0" w:color="auto"/>
              <w:bottom w:val="single" w:sz="6" w:space="0" w:color="auto"/>
              <w:right w:val="single" w:sz="6" w:space="0" w:color="auto"/>
            </w:tcBorders>
          </w:tcPr>
          <w:p w14:paraId="202640AD" w14:textId="77777777" w:rsidR="008D0A00" w:rsidRPr="00EF2114" w:rsidRDefault="008D0A00" w:rsidP="00EF2114">
            <w:pPr>
              <w:spacing w:before="100" w:beforeAutospacing="1" w:after="100" w:afterAutospacing="1"/>
              <w:jc w:val="both"/>
              <w:rPr>
                <w:rFonts w:ascii="Book Antiqua" w:hAnsi="Book Antiqua"/>
                <w:b/>
                <w:snapToGrid w:val="0"/>
              </w:rPr>
            </w:pPr>
          </w:p>
        </w:tc>
      </w:tr>
      <w:tr w:rsidR="008D0A00" w:rsidRPr="00EF2114" w14:paraId="077D78E4" w14:textId="77777777" w:rsidTr="008D0A00">
        <w:trPr>
          <w:trHeight w:val="598"/>
        </w:trPr>
        <w:tc>
          <w:tcPr>
            <w:tcW w:w="5246" w:type="dxa"/>
            <w:tcBorders>
              <w:top w:val="single" w:sz="6" w:space="0" w:color="auto"/>
              <w:left w:val="single" w:sz="6" w:space="0" w:color="auto"/>
              <w:bottom w:val="single" w:sz="6" w:space="0" w:color="auto"/>
              <w:right w:val="single" w:sz="6" w:space="0" w:color="auto"/>
            </w:tcBorders>
          </w:tcPr>
          <w:p w14:paraId="72B8D8D3" w14:textId="06886783" w:rsidR="008D0A00" w:rsidRPr="00CB5794" w:rsidRDefault="008D0A00" w:rsidP="008D0A00">
            <w:pPr>
              <w:spacing w:before="100" w:beforeAutospacing="1" w:after="100" w:afterAutospacing="1"/>
              <w:jc w:val="both"/>
              <w:rPr>
                <w:rFonts w:ascii="Book Antiqua" w:hAnsi="Book Antiqua"/>
                <w:snapToGrid w:val="0"/>
              </w:rPr>
            </w:pPr>
            <w:r w:rsidRPr="00CB5794">
              <w:rPr>
                <w:rFonts w:ascii="Book Antiqua" w:hAnsi="Book Antiqua"/>
                <w:snapToGrid w:val="0"/>
              </w:rPr>
              <w:t>Il piano triennale prevede la comunicazione di immobili al MEF?</w:t>
            </w:r>
          </w:p>
        </w:tc>
        <w:tc>
          <w:tcPr>
            <w:tcW w:w="567" w:type="dxa"/>
            <w:tcBorders>
              <w:top w:val="single" w:sz="6" w:space="0" w:color="auto"/>
              <w:left w:val="single" w:sz="6" w:space="0" w:color="auto"/>
              <w:bottom w:val="single" w:sz="6" w:space="0" w:color="auto"/>
              <w:right w:val="single" w:sz="6" w:space="0" w:color="auto"/>
            </w:tcBorders>
          </w:tcPr>
          <w:p w14:paraId="38631475"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567" w:type="dxa"/>
            <w:tcBorders>
              <w:top w:val="single" w:sz="6" w:space="0" w:color="auto"/>
              <w:left w:val="single" w:sz="6" w:space="0" w:color="auto"/>
              <w:bottom w:val="single" w:sz="6" w:space="0" w:color="auto"/>
              <w:right w:val="single" w:sz="6" w:space="0" w:color="auto"/>
            </w:tcBorders>
          </w:tcPr>
          <w:p w14:paraId="4C14A572"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850" w:type="dxa"/>
            <w:tcBorders>
              <w:top w:val="single" w:sz="6" w:space="0" w:color="auto"/>
              <w:left w:val="single" w:sz="6" w:space="0" w:color="auto"/>
              <w:bottom w:val="single" w:sz="6" w:space="0" w:color="auto"/>
              <w:right w:val="single" w:sz="6" w:space="0" w:color="auto"/>
            </w:tcBorders>
          </w:tcPr>
          <w:p w14:paraId="4F1BD131"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3119" w:type="dxa"/>
            <w:tcBorders>
              <w:top w:val="single" w:sz="6" w:space="0" w:color="auto"/>
              <w:left w:val="single" w:sz="6" w:space="0" w:color="auto"/>
              <w:bottom w:val="single" w:sz="6" w:space="0" w:color="auto"/>
              <w:right w:val="single" w:sz="6" w:space="0" w:color="auto"/>
            </w:tcBorders>
          </w:tcPr>
          <w:p w14:paraId="79352947" w14:textId="77777777" w:rsidR="008D0A00" w:rsidRPr="00EF2114" w:rsidRDefault="008D0A00" w:rsidP="00EF2114">
            <w:pPr>
              <w:spacing w:before="100" w:beforeAutospacing="1" w:after="100" w:afterAutospacing="1"/>
              <w:jc w:val="both"/>
              <w:rPr>
                <w:rFonts w:ascii="Book Antiqua" w:hAnsi="Book Antiqua"/>
                <w:b/>
                <w:snapToGrid w:val="0"/>
              </w:rPr>
            </w:pPr>
          </w:p>
        </w:tc>
      </w:tr>
      <w:tr w:rsidR="008D0A00" w:rsidRPr="00EF2114" w14:paraId="5D51423C" w14:textId="77777777" w:rsidTr="009063E3">
        <w:trPr>
          <w:trHeight w:val="310"/>
        </w:trPr>
        <w:tc>
          <w:tcPr>
            <w:tcW w:w="5246" w:type="dxa"/>
            <w:tcBorders>
              <w:top w:val="single" w:sz="6" w:space="0" w:color="auto"/>
              <w:left w:val="single" w:sz="6" w:space="0" w:color="auto"/>
              <w:bottom w:val="single" w:sz="6" w:space="0" w:color="auto"/>
              <w:right w:val="single" w:sz="6" w:space="0" w:color="auto"/>
            </w:tcBorders>
          </w:tcPr>
          <w:p w14:paraId="73936C1C" w14:textId="39F7C11E" w:rsidR="008D0A00" w:rsidRPr="00CB5794" w:rsidRDefault="008D0A00" w:rsidP="008D0A00">
            <w:pPr>
              <w:spacing w:before="100" w:beforeAutospacing="1" w:after="100" w:afterAutospacing="1"/>
              <w:jc w:val="both"/>
              <w:rPr>
                <w:rFonts w:ascii="Book Antiqua" w:hAnsi="Book Antiqua"/>
                <w:snapToGrid w:val="0"/>
              </w:rPr>
            </w:pPr>
            <w:r w:rsidRPr="00CB5794">
              <w:rPr>
                <w:rFonts w:ascii="Book Antiqua" w:hAnsi="Book Antiqua"/>
                <w:snapToGrid w:val="0"/>
              </w:rPr>
              <w:t>Il piano triennale è stato allegato al Bilancio ?</w:t>
            </w:r>
          </w:p>
        </w:tc>
        <w:tc>
          <w:tcPr>
            <w:tcW w:w="567" w:type="dxa"/>
            <w:tcBorders>
              <w:top w:val="single" w:sz="6" w:space="0" w:color="auto"/>
              <w:left w:val="single" w:sz="6" w:space="0" w:color="auto"/>
              <w:bottom w:val="single" w:sz="6" w:space="0" w:color="auto"/>
              <w:right w:val="single" w:sz="6" w:space="0" w:color="auto"/>
            </w:tcBorders>
          </w:tcPr>
          <w:p w14:paraId="79A77198"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567" w:type="dxa"/>
            <w:tcBorders>
              <w:top w:val="single" w:sz="6" w:space="0" w:color="auto"/>
              <w:left w:val="single" w:sz="6" w:space="0" w:color="auto"/>
              <w:bottom w:val="single" w:sz="6" w:space="0" w:color="auto"/>
              <w:right w:val="single" w:sz="6" w:space="0" w:color="auto"/>
            </w:tcBorders>
          </w:tcPr>
          <w:p w14:paraId="27BDC523"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850" w:type="dxa"/>
            <w:tcBorders>
              <w:top w:val="single" w:sz="6" w:space="0" w:color="auto"/>
              <w:left w:val="single" w:sz="6" w:space="0" w:color="auto"/>
              <w:bottom w:val="single" w:sz="6" w:space="0" w:color="auto"/>
              <w:right w:val="single" w:sz="6" w:space="0" w:color="auto"/>
            </w:tcBorders>
          </w:tcPr>
          <w:p w14:paraId="36409F5D"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3119" w:type="dxa"/>
            <w:tcBorders>
              <w:top w:val="single" w:sz="6" w:space="0" w:color="auto"/>
              <w:left w:val="single" w:sz="6" w:space="0" w:color="auto"/>
              <w:bottom w:val="single" w:sz="6" w:space="0" w:color="auto"/>
              <w:right w:val="single" w:sz="6" w:space="0" w:color="auto"/>
            </w:tcBorders>
          </w:tcPr>
          <w:p w14:paraId="682E8FD8" w14:textId="77777777" w:rsidR="008D0A00" w:rsidRPr="00EF2114" w:rsidRDefault="008D0A00" w:rsidP="00EF2114">
            <w:pPr>
              <w:spacing w:before="100" w:beforeAutospacing="1" w:after="100" w:afterAutospacing="1"/>
              <w:jc w:val="both"/>
              <w:rPr>
                <w:rFonts w:ascii="Book Antiqua" w:hAnsi="Book Antiqua"/>
                <w:b/>
                <w:snapToGrid w:val="0"/>
              </w:rPr>
            </w:pPr>
          </w:p>
        </w:tc>
      </w:tr>
      <w:tr w:rsidR="008D0A00" w:rsidRPr="00EF2114" w14:paraId="4EC92239" w14:textId="77777777" w:rsidTr="009063E3">
        <w:trPr>
          <w:trHeight w:val="415"/>
        </w:trPr>
        <w:tc>
          <w:tcPr>
            <w:tcW w:w="5246" w:type="dxa"/>
            <w:tcBorders>
              <w:top w:val="single" w:sz="6" w:space="0" w:color="auto"/>
              <w:left w:val="single" w:sz="6" w:space="0" w:color="auto"/>
              <w:bottom w:val="single" w:sz="4" w:space="0" w:color="auto"/>
              <w:right w:val="single" w:sz="6" w:space="0" w:color="auto"/>
            </w:tcBorders>
          </w:tcPr>
          <w:p w14:paraId="1166DFCD" w14:textId="4E40A6D8" w:rsidR="008D0A00" w:rsidRPr="00CB5794" w:rsidRDefault="008D0A00" w:rsidP="008D0A00">
            <w:pPr>
              <w:spacing w:before="100" w:beforeAutospacing="1" w:after="100" w:afterAutospacing="1"/>
              <w:jc w:val="both"/>
              <w:rPr>
                <w:rFonts w:ascii="Book Antiqua" w:hAnsi="Book Antiqua"/>
                <w:snapToGrid w:val="0"/>
              </w:rPr>
            </w:pPr>
            <w:r w:rsidRPr="00CB5794">
              <w:rPr>
                <w:rFonts w:ascii="Book Antiqua" w:hAnsi="Book Antiqua"/>
                <w:snapToGrid w:val="0"/>
              </w:rPr>
              <w:t>Il piano triennale è stato allegato al Rendiconto?</w:t>
            </w:r>
          </w:p>
        </w:tc>
        <w:tc>
          <w:tcPr>
            <w:tcW w:w="567" w:type="dxa"/>
            <w:tcBorders>
              <w:top w:val="single" w:sz="6" w:space="0" w:color="auto"/>
              <w:left w:val="single" w:sz="6" w:space="0" w:color="auto"/>
              <w:bottom w:val="single" w:sz="4" w:space="0" w:color="auto"/>
              <w:right w:val="single" w:sz="6" w:space="0" w:color="auto"/>
            </w:tcBorders>
          </w:tcPr>
          <w:p w14:paraId="32A47372"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567" w:type="dxa"/>
            <w:tcBorders>
              <w:top w:val="single" w:sz="6" w:space="0" w:color="auto"/>
              <w:left w:val="single" w:sz="6" w:space="0" w:color="auto"/>
              <w:bottom w:val="single" w:sz="4" w:space="0" w:color="auto"/>
              <w:right w:val="single" w:sz="6" w:space="0" w:color="auto"/>
            </w:tcBorders>
          </w:tcPr>
          <w:p w14:paraId="69EDAA30"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850" w:type="dxa"/>
            <w:tcBorders>
              <w:top w:val="single" w:sz="6" w:space="0" w:color="auto"/>
              <w:left w:val="single" w:sz="6" w:space="0" w:color="auto"/>
              <w:bottom w:val="single" w:sz="4" w:space="0" w:color="auto"/>
              <w:right w:val="single" w:sz="6" w:space="0" w:color="auto"/>
            </w:tcBorders>
          </w:tcPr>
          <w:p w14:paraId="5DA6E21B" w14:textId="77777777" w:rsidR="008D0A00" w:rsidRPr="00EF2114" w:rsidRDefault="008D0A00" w:rsidP="00EF2114">
            <w:pPr>
              <w:spacing w:before="100" w:beforeAutospacing="1" w:after="100" w:afterAutospacing="1"/>
              <w:jc w:val="both"/>
              <w:rPr>
                <w:rFonts w:ascii="Book Antiqua" w:hAnsi="Book Antiqua"/>
                <w:b/>
                <w:snapToGrid w:val="0"/>
              </w:rPr>
            </w:pPr>
          </w:p>
        </w:tc>
        <w:tc>
          <w:tcPr>
            <w:tcW w:w="3119" w:type="dxa"/>
            <w:tcBorders>
              <w:top w:val="single" w:sz="6" w:space="0" w:color="auto"/>
              <w:left w:val="single" w:sz="6" w:space="0" w:color="auto"/>
              <w:bottom w:val="single" w:sz="4" w:space="0" w:color="auto"/>
              <w:right w:val="single" w:sz="6" w:space="0" w:color="auto"/>
            </w:tcBorders>
          </w:tcPr>
          <w:p w14:paraId="663D0A83" w14:textId="77777777" w:rsidR="008D0A00" w:rsidRPr="00EF2114" w:rsidRDefault="008D0A00" w:rsidP="00EF2114">
            <w:pPr>
              <w:spacing w:before="100" w:beforeAutospacing="1" w:after="100" w:afterAutospacing="1"/>
              <w:jc w:val="both"/>
              <w:rPr>
                <w:rFonts w:ascii="Book Antiqua" w:hAnsi="Book Antiqua"/>
                <w:b/>
                <w:snapToGrid w:val="0"/>
              </w:rPr>
            </w:pPr>
          </w:p>
        </w:tc>
      </w:tr>
    </w:tbl>
    <w:p w14:paraId="1532CE5C" w14:textId="7C341053" w:rsidR="00EA5C69" w:rsidRDefault="00EA5C69"/>
    <w:p w14:paraId="74633B1B" w14:textId="1DDF7DDC" w:rsidR="007837DF" w:rsidRDefault="007837DF"/>
    <w:p w14:paraId="21EC2EED" w14:textId="7CD0F0F1" w:rsidR="007837DF" w:rsidRDefault="007837DF"/>
    <w:p w14:paraId="76B84C40" w14:textId="17523973" w:rsidR="007837DF" w:rsidRDefault="007837DF"/>
    <w:p w14:paraId="4872B08B" w14:textId="72EB8E13" w:rsidR="007837DF" w:rsidRDefault="007837DF"/>
    <w:p w14:paraId="51B656FA" w14:textId="5B339A32" w:rsidR="007837DF" w:rsidRDefault="007837DF"/>
    <w:p w14:paraId="65AF6726" w14:textId="151507BB" w:rsidR="007837DF" w:rsidRDefault="007837DF"/>
    <w:p w14:paraId="62D64C20" w14:textId="5233547F" w:rsidR="007837DF" w:rsidRDefault="007837DF"/>
    <w:p w14:paraId="163D630E" w14:textId="4C0DDE89" w:rsidR="007837DF" w:rsidRDefault="007837DF"/>
    <w:p w14:paraId="4B1F0E6D" w14:textId="01795194" w:rsidR="007837DF" w:rsidRDefault="007837DF"/>
    <w:p w14:paraId="263B5669" w14:textId="4D6EC419" w:rsidR="007837DF" w:rsidRDefault="007837DF"/>
    <w:p w14:paraId="2D65E324" w14:textId="38C79506" w:rsidR="007837DF" w:rsidRDefault="007837DF"/>
    <w:p w14:paraId="5BACE2D1" w14:textId="12864B63" w:rsidR="007837DF" w:rsidRDefault="007837DF"/>
    <w:p w14:paraId="4506D82D" w14:textId="77777777" w:rsidR="007837DF" w:rsidRDefault="007837DF"/>
    <w:tbl>
      <w:tblPr>
        <w:tblW w:w="10349" w:type="dxa"/>
        <w:tblInd w:w="-372" w:type="dxa"/>
        <w:tblLayout w:type="fixed"/>
        <w:tblCellMar>
          <w:left w:w="54" w:type="dxa"/>
          <w:right w:w="54" w:type="dxa"/>
        </w:tblCellMar>
        <w:tblLook w:val="0000" w:firstRow="0" w:lastRow="0" w:firstColumn="0" w:lastColumn="0" w:noHBand="0" w:noVBand="0"/>
      </w:tblPr>
      <w:tblGrid>
        <w:gridCol w:w="10349"/>
      </w:tblGrid>
      <w:tr w:rsidR="007837DF" w:rsidRPr="00F97FDB" w14:paraId="3A526F1E" w14:textId="77777777" w:rsidTr="007837DF">
        <w:trPr>
          <w:cantSplit/>
        </w:trPr>
        <w:tc>
          <w:tcPr>
            <w:tcW w:w="10349" w:type="dxa"/>
            <w:tcBorders>
              <w:top w:val="single" w:sz="4" w:space="0" w:color="auto"/>
              <w:left w:val="single" w:sz="4" w:space="0" w:color="auto"/>
              <w:bottom w:val="single" w:sz="4" w:space="0" w:color="auto"/>
              <w:right w:val="single" w:sz="6" w:space="0" w:color="auto"/>
            </w:tcBorders>
          </w:tcPr>
          <w:p w14:paraId="3BD6CBBA" w14:textId="118763F9" w:rsidR="007837DF" w:rsidRPr="00F97FDB" w:rsidRDefault="007837DF" w:rsidP="0011547F">
            <w:pPr>
              <w:widowControl w:val="0"/>
              <w:rPr>
                <w:rFonts w:ascii="Book Antiqua" w:hAnsi="Book Antiqua"/>
                <w:b/>
                <w:snapToGrid w:val="0"/>
                <w:color w:val="FF0000"/>
              </w:rPr>
            </w:pPr>
            <w:r>
              <w:rPr>
                <w:rFonts w:ascii="Book Antiqua" w:hAnsi="Book Antiqua"/>
                <w:b/>
                <w:snapToGrid w:val="0"/>
                <w:color w:val="FF0000"/>
              </w:rPr>
              <w:t>LEGENDA:</w:t>
            </w:r>
          </w:p>
        </w:tc>
      </w:tr>
      <w:tr w:rsidR="007837DF" w:rsidRPr="00F97FDB" w14:paraId="4FD289AA" w14:textId="77777777" w:rsidTr="007837DF">
        <w:trPr>
          <w:cantSplit/>
          <w:trHeight w:val="2938"/>
        </w:trPr>
        <w:tc>
          <w:tcPr>
            <w:tcW w:w="10349" w:type="dxa"/>
            <w:tcBorders>
              <w:top w:val="single" w:sz="4" w:space="0" w:color="auto"/>
              <w:left w:val="single" w:sz="4" w:space="0" w:color="auto"/>
              <w:bottom w:val="single" w:sz="4" w:space="0" w:color="auto"/>
              <w:right w:val="single" w:sz="6" w:space="0" w:color="auto"/>
            </w:tcBorders>
          </w:tcPr>
          <w:p w14:paraId="7CFDA538" w14:textId="77777777" w:rsidR="007837DF" w:rsidRPr="00121841" w:rsidRDefault="007837DF" w:rsidP="007837DF">
            <w:pPr>
              <w:widowControl w:val="0"/>
              <w:jc w:val="both"/>
              <w:rPr>
                <w:rFonts w:ascii="Book Antiqua" w:hAnsi="Book Antiqua"/>
                <w:b/>
                <w:snapToGrid w:val="0"/>
                <w:color w:val="FF0000"/>
              </w:rPr>
            </w:pPr>
            <w:r w:rsidRPr="00121841">
              <w:rPr>
                <w:rFonts w:ascii="Book Antiqua" w:hAnsi="Book Antiqua"/>
                <w:b/>
                <w:snapToGrid w:val="0"/>
                <w:color w:val="FF0000"/>
              </w:rPr>
              <w:t>In caso di risposta negativa:</w:t>
            </w:r>
          </w:p>
          <w:p w14:paraId="29B85ED7" w14:textId="77777777" w:rsidR="007837DF" w:rsidRDefault="007837DF" w:rsidP="007837DF">
            <w:pPr>
              <w:widowControl w:val="0"/>
              <w:jc w:val="both"/>
              <w:rPr>
                <w:rFonts w:ascii="Book Antiqua" w:hAnsi="Book Antiqua"/>
                <w:b/>
                <w:snapToGrid w:val="0"/>
                <w:color w:val="FF0000"/>
              </w:rPr>
            </w:pPr>
            <w:r w:rsidRPr="00121841">
              <w:rPr>
                <w:rFonts w:ascii="Book Antiqua" w:hAnsi="Book Antiqua"/>
                <w:b/>
                <w:snapToGrid w:val="0"/>
                <w:color w:val="FF0000"/>
              </w:rPr>
              <w:t>l’organo di revisione deve sviluppare un’adeguata azione di risposta a seconda della fattispecie (segnalazione, denuncia, verifiche ulteriori, ecc.)</w:t>
            </w:r>
          </w:p>
          <w:p w14:paraId="211B1D92" w14:textId="77777777" w:rsidR="007837DF" w:rsidRPr="00F97FDB" w:rsidRDefault="007837DF" w:rsidP="007837DF">
            <w:pPr>
              <w:widowControl w:val="0"/>
              <w:jc w:val="both"/>
              <w:rPr>
                <w:rFonts w:ascii="Book Antiqua" w:hAnsi="Book Antiqua"/>
                <w:b/>
                <w:snapToGrid w:val="0"/>
                <w:color w:val="FF0000"/>
              </w:rPr>
            </w:pPr>
          </w:p>
          <w:p w14:paraId="284A3E1C" w14:textId="77777777" w:rsidR="007837DF" w:rsidRPr="00B16AD9" w:rsidRDefault="007837DF" w:rsidP="007837DF">
            <w:pPr>
              <w:widowControl w:val="0"/>
              <w:jc w:val="both"/>
              <w:rPr>
                <w:rFonts w:ascii="Book Antiqua" w:hAnsi="Book Antiqua"/>
                <w:b/>
                <w:snapToGrid w:val="0"/>
                <w:color w:val="FF0000"/>
              </w:rPr>
            </w:pPr>
            <w:r w:rsidRPr="00B16AD9">
              <w:rPr>
                <w:rFonts w:ascii="Book Antiqua" w:hAnsi="Book Antiqua"/>
                <w:b/>
                <w:snapToGrid w:val="0"/>
                <w:color w:val="FF0000"/>
              </w:rPr>
              <w:t>N/A – Fattispecie non applicabile</w:t>
            </w:r>
          </w:p>
          <w:p w14:paraId="1949E136" w14:textId="77777777" w:rsidR="007837DF" w:rsidRDefault="007837DF" w:rsidP="007837DF">
            <w:pPr>
              <w:widowControl w:val="0"/>
              <w:jc w:val="both"/>
              <w:rPr>
                <w:rFonts w:ascii="Book Antiqua" w:hAnsi="Book Antiqua"/>
                <w:snapToGrid w:val="0"/>
              </w:rPr>
            </w:pPr>
            <w:r w:rsidRPr="00B16AD9">
              <w:rPr>
                <w:rFonts w:ascii="Book Antiqua" w:hAnsi="Book Antiqua"/>
                <w:snapToGrid w:val="0"/>
              </w:rPr>
              <w:t>N/A: tale opzione indica che nel corso della specifica verifica il controllo proposto nella checklist non viene svolto in quanto non previsto nella pianificazione svolta dall’organo di revisione. I</w:t>
            </w:r>
            <w:r>
              <w:rPr>
                <w:rFonts w:ascii="Book Antiqua" w:hAnsi="Book Antiqua"/>
                <w:snapToGrid w:val="0"/>
              </w:rPr>
              <w:t>l</w:t>
            </w:r>
            <w:r w:rsidRPr="00B16AD9">
              <w:rPr>
                <w:rFonts w:ascii="Book Antiqua" w:hAnsi="Book Antiqua"/>
                <w:snapToGrid w:val="0"/>
              </w:rPr>
              <w:t xml:space="preserve"> controllo, ad esempio, potrebbe essere stato svolto nel corso di altra verifica o il rischio collegato essere stato valutato basso per cui l’organo di revisione ritiene di </w:t>
            </w:r>
            <w:r>
              <w:rPr>
                <w:rFonts w:ascii="Book Antiqua" w:hAnsi="Book Antiqua"/>
                <w:snapToGrid w:val="0"/>
              </w:rPr>
              <w:t xml:space="preserve">non </w:t>
            </w:r>
            <w:r w:rsidRPr="00B16AD9">
              <w:rPr>
                <w:rFonts w:ascii="Book Antiqua" w:hAnsi="Book Antiqua"/>
                <w:snapToGrid w:val="0"/>
              </w:rPr>
              <w:t>svolgere il controllo proposto nella specifica circostanza.</w:t>
            </w:r>
          </w:p>
          <w:p w14:paraId="517C3D3D" w14:textId="77777777" w:rsidR="007837DF" w:rsidRDefault="007837DF" w:rsidP="007837DF">
            <w:pPr>
              <w:widowControl w:val="0"/>
              <w:jc w:val="both"/>
              <w:rPr>
                <w:rFonts w:ascii="Book Antiqua" w:hAnsi="Book Antiqua"/>
                <w:snapToGrid w:val="0"/>
              </w:rPr>
            </w:pPr>
          </w:p>
          <w:p w14:paraId="796FC481" w14:textId="4251A6E3" w:rsidR="007837DF" w:rsidRPr="00F97FDB" w:rsidRDefault="007837DF" w:rsidP="007837DF">
            <w:pPr>
              <w:widowControl w:val="0"/>
              <w:jc w:val="both"/>
              <w:rPr>
                <w:rFonts w:ascii="Book Antiqua" w:hAnsi="Book Antiqua"/>
                <w:b/>
                <w:snapToGrid w:val="0"/>
                <w:color w:val="FF0000"/>
              </w:rPr>
            </w:pPr>
            <w:r w:rsidRPr="00121841">
              <w:rPr>
                <w:rFonts w:ascii="Book Antiqua" w:hAnsi="Book Antiqua"/>
                <w:b/>
                <w:snapToGrid w:val="0"/>
                <w:color w:val="FF0000"/>
              </w:rPr>
              <w:t>N/R – Non ricorre la fattispecie</w:t>
            </w:r>
          </w:p>
        </w:tc>
      </w:tr>
    </w:tbl>
    <w:p w14:paraId="53BEDA5C" w14:textId="77777777" w:rsidR="008A09B2" w:rsidRDefault="008A09B2"/>
    <w:tbl>
      <w:tblPr>
        <w:tblW w:w="10349" w:type="dxa"/>
        <w:tblInd w:w="-372" w:type="dxa"/>
        <w:tblLayout w:type="fixed"/>
        <w:tblCellMar>
          <w:left w:w="54" w:type="dxa"/>
          <w:right w:w="54" w:type="dxa"/>
        </w:tblCellMar>
        <w:tblLook w:val="0000" w:firstRow="0" w:lastRow="0" w:firstColumn="0" w:lastColumn="0" w:noHBand="0" w:noVBand="0"/>
      </w:tblPr>
      <w:tblGrid>
        <w:gridCol w:w="5246"/>
        <w:gridCol w:w="5103"/>
      </w:tblGrid>
      <w:tr w:rsidR="00EA5C69" w:rsidRPr="00574869" w14:paraId="450DD265"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9A54EB" w14:textId="3EFA6DE5" w:rsidR="00EA5C69" w:rsidRDefault="008A09B2" w:rsidP="003A7906">
            <w:pPr>
              <w:widowControl w:val="0"/>
              <w:rPr>
                <w:rFonts w:ascii="Book Antiqua" w:hAnsi="Book Antiqua"/>
                <w:b/>
                <w:snapToGrid w:val="0"/>
              </w:rPr>
            </w:pPr>
            <w:r>
              <w:br w:type="page"/>
            </w:r>
            <w:r w:rsidR="00F7795B">
              <w:t>C</w:t>
            </w:r>
            <w:r w:rsidR="00EA5C69">
              <w:rPr>
                <w:rFonts w:ascii="Book Antiqua" w:hAnsi="Book Antiqua"/>
                <w:b/>
                <w:snapToGrid w:val="0"/>
              </w:rPr>
              <w:t>ONCLUSIONI PER L’AREA:</w:t>
            </w:r>
          </w:p>
          <w:p w14:paraId="69B8701E" w14:textId="3DBC827B" w:rsidR="00EA5C69" w:rsidRPr="00ED383F" w:rsidRDefault="00EA5C69" w:rsidP="003A7906">
            <w:pPr>
              <w:widowControl w:val="0"/>
              <w:rPr>
                <w:rFonts w:ascii="Book Antiqua" w:hAnsi="Book Antiqua"/>
                <w:b/>
                <w:snapToGrid w:val="0"/>
              </w:rPr>
            </w:pPr>
            <w:r>
              <w:rPr>
                <w:rFonts w:ascii="Book Antiqua" w:hAnsi="Book Antiqua"/>
                <w:b/>
                <w:snapToGrid w:val="0"/>
              </w:rPr>
              <w:t>(considerazioni conclusive a valle della comprensione di c</w:t>
            </w:r>
            <w:r w:rsidR="00600796">
              <w:rPr>
                <w:rFonts w:ascii="Book Antiqua" w:hAnsi="Book Antiqua"/>
                <w:b/>
                <w:snapToGrid w:val="0"/>
              </w:rPr>
              <w:t>u</w:t>
            </w:r>
            <w:r>
              <w:rPr>
                <w:rFonts w:ascii="Book Antiqua" w:hAnsi="Book Antiqua"/>
                <w:b/>
                <w:snapToGrid w:val="0"/>
              </w:rPr>
              <w:t>i sopra)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63B22A4E" w14:textId="77777777" w:rsidR="00EA5C69" w:rsidRPr="00574869" w:rsidRDefault="00EA5C69" w:rsidP="003A7906">
            <w:pPr>
              <w:widowControl w:val="0"/>
              <w:jc w:val="center"/>
              <w:rPr>
                <w:rFonts w:ascii="Arial" w:hAnsi="Arial"/>
                <w:snapToGrid w:val="0"/>
              </w:rPr>
            </w:pPr>
          </w:p>
        </w:tc>
      </w:tr>
      <w:tr w:rsidR="00EA5C69" w:rsidRPr="00574869" w14:paraId="6DCA614E"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4D4149"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4CE6A22" w14:textId="77777777" w:rsidR="00EA5C69" w:rsidRPr="00574869" w:rsidRDefault="00EA5C69" w:rsidP="003A7906">
            <w:pPr>
              <w:widowControl w:val="0"/>
              <w:jc w:val="center"/>
              <w:rPr>
                <w:rFonts w:ascii="Arial" w:hAnsi="Arial"/>
                <w:snapToGrid w:val="0"/>
              </w:rPr>
            </w:pPr>
          </w:p>
        </w:tc>
      </w:tr>
      <w:tr w:rsidR="00EA5C69" w:rsidRPr="00574869" w14:paraId="77319533"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3EE11"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19D0B80D" w14:textId="77777777" w:rsidR="00EA5C69" w:rsidRPr="00574869" w:rsidRDefault="00EA5C69" w:rsidP="003A7906">
            <w:pPr>
              <w:widowControl w:val="0"/>
              <w:jc w:val="center"/>
              <w:rPr>
                <w:rFonts w:ascii="Arial" w:hAnsi="Arial"/>
                <w:snapToGrid w:val="0"/>
              </w:rPr>
            </w:pPr>
          </w:p>
        </w:tc>
      </w:tr>
      <w:tr w:rsidR="00514CB5" w:rsidRPr="00574869" w14:paraId="628B8B81"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5B47F" w14:textId="2856BB6A" w:rsidR="00514CB5" w:rsidRDefault="00514CB5" w:rsidP="003A7906">
            <w:pPr>
              <w:widowControl w:val="0"/>
              <w:rPr>
                <w:rFonts w:ascii="Book Antiqua" w:hAnsi="Book Antiqua"/>
                <w:b/>
                <w:snapToGrid w:val="0"/>
              </w:rPr>
            </w:pPr>
            <w:r>
              <w:rPr>
                <w:rFonts w:ascii="Book Antiqua" w:hAnsi="Book Antiqua"/>
                <w:b/>
                <w:snapToGrid w:val="0"/>
              </w:rPr>
              <w:t>RISPOSTA DI REVISIONE:</w:t>
            </w:r>
          </w:p>
          <w:p w14:paraId="5B5A466D" w14:textId="77777777" w:rsidR="00514CB5" w:rsidRPr="00ED383F" w:rsidRDefault="00514CB5" w:rsidP="00514CB5">
            <w:pPr>
              <w:widowControl w:val="0"/>
              <w:rPr>
                <w:rFonts w:ascii="Book Antiqua" w:hAnsi="Book Antiqua"/>
                <w:b/>
                <w:snapToGrid w:val="0"/>
              </w:rPr>
            </w:pPr>
            <w:r>
              <w:rPr>
                <w:rFonts w:ascii="Book Antiqua" w:hAnsi="Book Antiqua"/>
                <w:b/>
                <w:snapToGrid w:val="0"/>
              </w:rPr>
              <w:t>(procedure di revisione aggiuntive da dettagliare in fase di esecuzione della strategia di dettaglio)</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14C98B8" w14:textId="77777777" w:rsidR="00514CB5" w:rsidRPr="00574869" w:rsidRDefault="00514CB5" w:rsidP="003A7906">
            <w:pPr>
              <w:widowControl w:val="0"/>
              <w:jc w:val="center"/>
              <w:rPr>
                <w:rFonts w:ascii="Arial" w:hAnsi="Arial"/>
                <w:snapToGrid w:val="0"/>
              </w:rPr>
            </w:pPr>
          </w:p>
        </w:tc>
      </w:tr>
      <w:tr w:rsidR="00514CB5" w:rsidRPr="00574869" w14:paraId="77A3E6E3"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3CAB4"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5B341203" w14:textId="77777777" w:rsidR="00514CB5" w:rsidRPr="00574869" w:rsidRDefault="00514CB5" w:rsidP="003A7906">
            <w:pPr>
              <w:widowControl w:val="0"/>
              <w:jc w:val="center"/>
              <w:rPr>
                <w:rFonts w:ascii="Arial" w:hAnsi="Arial"/>
                <w:snapToGrid w:val="0"/>
              </w:rPr>
            </w:pPr>
          </w:p>
        </w:tc>
      </w:tr>
      <w:tr w:rsidR="00514CB5" w:rsidRPr="00574869" w14:paraId="38F5F94F"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D7E96"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7D4E1E86" w14:textId="77777777" w:rsidR="00514CB5" w:rsidRPr="00574869" w:rsidRDefault="00514CB5" w:rsidP="003A7906">
            <w:pPr>
              <w:widowControl w:val="0"/>
              <w:jc w:val="center"/>
              <w:rPr>
                <w:rFonts w:ascii="Arial" w:hAnsi="Arial"/>
                <w:snapToGrid w:val="0"/>
              </w:rPr>
            </w:pPr>
          </w:p>
        </w:tc>
      </w:tr>
      <w:tr w:rsidR="00514CB5" w:rsidRPr="00574869" w14:paraId="168BF18A"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6A24A3" w14:textId="77777777" w:rsidR="00514CB5" w:rsidRPr="00ED383F" w:rsidRDefault="00514CB5" w:rsidP="00514CB5">
            <w:pPr>
              <w:widowControl w:val="0"/>
              <w:rPr>
                <w:rFonts w:ascii="Book Antiqua" w:hAnsi="Book Antiqua"/>
                <w:b/>
                <w:snapToGrid w:val="0"/>
              </w:rPr>
            </w:pPr>
            <w:r>
              <w:rPr>
                <w:rFonts w:ascii="Book Antiqua" w:hAnsi="Book Antiqua"/>
                <w:b/>
                <w:snapToGrid w:val="0"/>
              </w:rPr>
              <w:t>RISCHI SULL’AREA: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60C725C" w14:textId="77777777" w:rsidR="00514CB5" w:rsidRPr="00574869" w:rsidRDefault="00514CB5" w:rsidP="003A7906">
            <w:pPr>
              <w:widowControl w:val="0"/>
              <w:jc w:val="center"/>
              <w:rPr>
                <w:rFonts w:ascii="Arial" w:hAnsi="Arial"/>
                <w:snapToGrid w:val="0"/>
              </w:rPr>
            </w:pPr>
          </w:p>
        </w:tc>
      </w:tr>
      <w:tr w:rsidR="00514CB5" w:rsidRPr="00574869" w14:paraId="7F32EAE2"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E04DE"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41CD61EF" w14:textId="77777777" w:rsidR="00514CB5" w:rsidRPr="00574869" w:rsidRDefault="00514CB5" w:rsidP="003A7906">
            <w:pPr>
              <w:widowControl w:val="0"/>
              <w:jc w:val="center"/>
              <w:rPr>
                <w:rFonts w:ascii="Arial" w:hAnsi="Arial"/>
                <w:snapToGrid w:val="0"/>
              </w:rPr>
            </w:pPr>
          </w:p>
        </w:tc>
      </w:tr>
      <w:tr w:rsidR="00514CB5" w:rsidRPr="00574869" w14:paraId="0E1AEA83"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69D0DE"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797EBCB8" w14:textId="77777777" w:rsidR="00514CB5" w:rsidRPr="00574869" w:rsidRDefault="00514CB5" w:rsidP="003A7906">
            <w:pPr>
              <w:widowControl w:val="0"/>
              <w:jc w:val="center"/>
              <w:rPr>
                <w:rFonts w:ascii="Arial" w:hAnsi="Arial"/>
                <w:snapToGrid w:val="0"/>
              </w:rPr>
            </w:pPr>
          </w:p>
        </w:tc>
      </w:tr>
    </w:tbl>
    <w:p w14:paraId="7104CDBA" w14:textId="77777777" w:rsidR="00F7795B" w:rsidRDefault="00F7795B" w:rsidP="003116A5">
      <w:pPr>
        <w:spacing w:after="200" w:line="276" w:lineRule="auto"/>
        <w:jc w:val="center"/>
        <w:rPr>
          <w:rFonts w:ascii="Book Antiqua" w:hAnsi="Book Antiqua"/>
          <w:b/>
          <w:snapToGrid w:val="0"/>
        </w:rPr>
      </w:pPr>
    </w:p>
    <w:p w14:paraId="7A74E5DB" w14:textId="2260A774" w:rsidR="00C9567A" w:rsidRPr="00F23B17" w:rsidRDefault="004A663E" w:rsidP="003116A5">
      <w:pPr>
        <w:spacing w:after="200" w:line="276" w:lineRule="auto"/>
        <w:jc w:val="center"/>
        <w:rPr>
          <w:rFonts w:ascii="Book Antiqua" w:hAnsi="Book Antiqua"/>
          <w:b/>
          <w:snapToGrid w:val="0"/>
        </w:rPr>
      </w:pPr>
      <w:r w:rsidRPr="00F23B17">
        <w:rPr>
          <w:rFonts w:ascii="Book Antiqua" w:hAnsi="Book Antiqua"/>
          <w:b/>
          <w:snapToGrid w:val="0"/>
        </w:rPr>
        <w:t>Fonte Normativa:</w:t>
      </w:r>
    </w:p>
    <w:tbl>
      <w:tblPr>
        <w:tblW w:w="9990" w:type="dxa"/>
        <w:tblInd w:w="61" w:type="dxa"/>
        <w:tblCellMar>
          <w:left w:w="70" w:type="dxa"/>
          <w:right w:w="70" w:type="dxa"/>
        </w:tblCellMar>
        <w:tblLook w:val="04A0" w:firstRow="1" w:lastRow="0" w:firstColumn="1" w:lastColumn="0" w:noHBand="0" w:noVBand="1"/>
      </w:tblPr>
      <w:tblGrid>
        <w:gridCol w:w="9990"/>
      </w:tblGrid>
      <w:tr w:rsidR="00F23B17" w:rsidRPr="00F23B17" w14:paraId="397FA2A7" w14:textId="77777777" w:rsidTr="00F23B17">
        <w:trPr>
          <w:trHeight w:val="705"/>
        </w:trPr>
        <w:tc>
          <w:tcPr>
            <w:tcW w:w="9180" w:type="dxa"/>
            <w:tcBorders>
              <w:top w:val="nil"/>
              <w:left w:val="nil"/>
              <w:bottom w:val="nil"/>
              <w:right w:val="nil"/>
            </w:tcBorders>
            <w:shd w:val="clear" w:color="auto" w:fill="auto"/>
            <w:noWrap/>
            <w:vAlign w:val="bottom"/>
            <w:hideMark/>
          </w:tcPr>
          <w:p w14:paraId="71A2F2F3" w14:textId="42C8D1DF"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r w:rsidRPr="003116A5">
              <w:rPr>
                <w:rFonts w:ascii="Book Antiqua" w:hAnsi="Book Antiqua"/>
                <w:b/>
                <w:snapToGrid w:val="0"/>
              </w:rPr>
              <w:t>594. Ai fini del contenimento delle spese di funzionamento delle proprie strutture, le amministrazioni pubbliche di cui all’</w:t>
            </w:r>
            <w:hyperlink r:id="rId8" w:history="1">
              <w:r w:rsidRPr="003116A5">
                <w:rPr>
                  <w:rFonts w:ascii="Book Antiqua" w:hAnsi="Book Antiqua"/>
                  <w:b/>
                  <w:snapToGrid w:val="0"/>
                </w:rPr>
                <w:t>articolo 1</w:t>
              </w:r>
            </w:hyperlink>
            <w:r w:rsidRPr="003116A5">
              <w:rPr>
                <w:rFonts w:ascii="Book Antiqua" w:hAnsi="Book Antiqua"/>
                <w:b/>
                <w:snapToGrid w:val="0"/>
              </w:rPr>
              <w:t>, comma 2,  del decreto legislativo 30 marzo 2001, n.  165, adottano piani  triennali  per l’individuazione di misure finalizzate alla razionalizzazione dell’utilizzo:</w:t>
            </w:r>
          </w:p>
          <w:p w14:paraId="134F3FCD"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r w:rsidRPr="003116A5">
              <w:rPr>
                <w:rFonts w:ascii="Book Antiqua" w:hAnsi="Book Antiqua"/>
                <w:b/>
                <w:snapToGrid w:val="0"/>
              </w:rPr>
              <w:t xml:space="preserve">      a) delle dotazioni strumentali, anche informatiche, che  corredano  le stazioni di lavoro nell’automazione d’ufficio;</w:t>
            </w:r>
          </w:p>
          <w:p w14:paraId="624F681F"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r w:rsidRPr="003116A5">
              <w:rPr>
                <w:rFonts w:ascii="Book Antiqua" w:hAnsi="Book Antiqua"/>
                <w:b/>
                <w:snapToGrid w:val="0"/>
              </w:rPr>
              <w:t xml:space="preserve">      b) delle  autovetture  di  servizio,  attraverso  il  ricorso,  previa verifica di fattibilità, a mezzi alternativi di trasporto, anche cumulativo;</w:t>
            </w:r>
          </w:p>
          <w:p w14:paraId="1B5A6680"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r w:rsidRPr="003116A5">
              <w:rPr>
                <w:rFonts w:ascii="Book Antiqua" w:hAnsi="Book Antiqua"/>
                <w:b/>
                <w:snapToGrid w:val="0"/>
              </w:rPr>
              <w:t xml:space="preserve">      c) dei beni immobili ad uso abitativo o di  servizio,  con  esclusione dei beni infrastrutturali.</w:t>
            </w:r>
          </w:p>
          <w:p w14:paraId="761AEBED"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p>
          <w:p w14:paraId="01D9E27B"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r w:rsidRPr="003116A5">
              <w:rPr>
                <w:rFonts w:ascii="Book Antiqua" w:hAnsi="Book Antiqua"/>
                <w:b/>
                <w:snapToGrid w:val="0"/>
              </w:rPr>
              <w:t xml:space="preserve">    595. Nei piani di cui  alla  lettera  a)  del  comma  594  sono  altresì indicate le misure dirette a circoscrivere l’assegnazione di apparecchiature di telefonia mobile ai soli casi in cui il personale debba  assicurare,  per esigenze di servizio, pronta e  costante  reperibilità  e  limitatamente  al periodo necessario  allo  svolgimento  delle  particolari  attività  che  ne richiedono l’uso, individuando, nel rispetto della  normativa  sulla  tutela della riservatezza dei dati personali, forme di verifica, anche a  campione, circa il corretto utilizzo delle relative utenze.</w:t>
            </w:r>
          </w:p>
          <w:p w14:paraId="1ED23412"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p>
          <w:p w14:paraId="0124508A"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r w:rsidRPr="003116A5">
              <w:rPr>
                <w:rFonts w:ascii="Book Antiqua" w:hAnsi="Book Antiqua"/>
                <w:b/>
                <w:snapToGrid w:val="0"/>
              </w:rPr>
              <w:t xml:space="preserve">    596.  Qualora  gli  interventi  di  cui  al  comma  594  implichino   la dismissione  di  dotazioni  strumentali,  il   piano   è   corredato   della documentazione necessaria a  dimostrare  la  congruenza  dell’operazione  in termini di costi e benefici.</w:t>
            </w:r>
          </w:p>
          <w:p w14:paraId="693278E0"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p>
          <w:p w14:paraId="505412CD"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r w:rsidRPr="003116A5">
              <w:rPr>
                <w:rFonts w:ascii="Book Antiqua" w:hAnsi="Book Antiqua"/>
                <w:b/>
                <w:snapToGrid w:val="0"/>
              </w:rPr>
              <w:t xml:space="preserve">    597. A consuntivo annuale, le amministrazioni trasmettono una  relazione agli organi di controllo interno e alla sezione regionale  della  Corte  dei conti competente.</w:t>
            </w:r>
          </w:p>
          <w:p w14:paraId="44621737"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p>
          <w:p w14:paraId="02218388"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r w:rsidRPr="003116A5">
              <w:rPr>
                <w:rFonts w:ascii="Book Antiqua" w:hAnsi="Book Antiqua"/>
                <w:b/>
                <w:snapToGrid w:val="0"/>
              </w:rPr>
              <w:t xml:space="preserve">    598. I piani triennali di cui al comma 594 sono  resi  pubblici  con  le modalità previste dall’</w:t>
            </w:r>
            <w:hyperlink r:id="rId9" w:history="1">
              <w:r w:rsidRPr="003116A5">
                <w:rPr>
                  <w:rFonts w:ascii="Book Antiqua" w:hAnsi="Book Antiqua"/>
                  <w:b/>
                  <w:snapToGrid w:val="0"/>
                </w:rPr>
                <w:t>articolo 11</w:t>
              </w:r>
            </w:hyperlink>
            <w:r w:rsidRPr="003116A5">
              <w:rPr>
                <w:rFonts w:ascii="Book Antiqua" w:hAnsi="Book Antiqua"/>
                <w:b/>
                <w:snapToGrid w:val="0"/>
              </w:rPr>
              <w:t xml:space="preserve"> del decreto legislativo 30 marzo 2001, n. 165, e dall’articolo 54 del codice dell’amministrazione digitale, di cui  al citato decreto legislativo n. 82 del 2005.</w:t>
            </w:r>
          </w:p>
          <w:p w14:paraId="5ABFB71F"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p>
          <w:p w14:paraId="07E0FB61"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r w:rsidRPr="003116A5">
              <w:rPr>
                <w:rFonts w:ascii="Book Antiqua" w:hAnsi="Book Antiqua"/>
                <w:b/>
                <w:snapToGrid w:val="0"/>
              </w:rPr>
              <w:t xml:space="preserve">    599. Le amministrazioni di cui al comma 594, sulla  base  di  criteri  e modalità definiti con decreto del Presidente del Consiglio dei  ministri  da adottare, sentita l’Agenzia del demanio, entro novanta giorni dalla data  di entrata  in  vigore  della  presente  legge,  all’esito  della  ricognizione propedeutica alla adozione dei piani triennali di cui alla  lettera  c)  del comma 594 provvedono a comunicare al Ministero dell’economia e delle finanze i dati relativi a:</w:t>
            </w:r>
          </w:p>
          <w:p w14:paraId="5D187DEC"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r w:rsidRPr="003116A5">
              <w:rPr>
                <w:rFonts w:ascii="Book Antiqua" w:hAnsi="Book Antiqua"/>
                <w:b/>
                <w:snapToGrid w:val="0"/>
              </w:rPr>
              <w:lastRenderedPageBreak/>
              <w:t xml:space="preserve">      a) i beni immobili ad uso abitativo o di servizio, con esclusione  dei beni infrastrutturali, sui quali vantino a qualunque titolo  diritti  reali, distinguendoli in base al relativo  titolo,  determinandone  la  consistenza complessiva ed indicando gli eventuali proventi annualmente  ritratti  dalla cessione in locazione o in ogni caso dalla costituzione  in  relazione  agli stessi di diritti in favore di terzi;</w:t>
            </w:r>
          </w:p>
          <w:p w14:paraId="0FA39DBB" w14:textId="77777777" w:rsidR="003116A5" w:rsidRPr="003116A5" w:rsidRDefault="003116A5" w:rsidP="00311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snapToGrid w:val="0"/>
              </w:rPr>
            </w:pPr>
            <w:r w:rsidRPr="003116A5">
              <w:rPr>
                <w:rFonts w:ascii="Book Antiqua" w:hAnsi="Book Antiqua"/>
                <w:b/>
                <w:snapToGrid w:val="0"/>
              </w:rPr>
              <w:t xml:space="preserve">      b) i beni immobili ad uso abitativo o di servizio, con esclusione  dei beni  infrastrutturali,  dei   quali   abbiano   a   qualunque   titolo   la disponibilità, distinguendoli in base al relativo titolo e determinandone la consistenza   complessiva,   nonché   quantificando    gli    oneri    annui complessivamente  sostenuti  a   qualunque   titolo   per   assicurarne   la disponibilità.</w:t>
            </w:r>
          </w:p>
          <w:p w14:paraId="12E6BDFE" w14:textId="77777777" w:rsidR="00F23B17" w:rsidRDefault="00F23B17" w:rsidP="003116A5">
            <w:pPr>
              <w:spacing w:after="200" w:line="276" w:lineRule="auto"/>
              <w:rPr>
                <w:rFonts w:ascii="Book Antiqua" w:hAnsi="Book Antiqua"/>
                <w:b/>
                <w:snapToGrid w:val="0"/>
              </w:rPr>
            </w:pPr>
          </w:p>
          <w:p w14:paraId="39136F73" w14:textId="77777777" w:rsidR="003116A5" w:rsidRPr="008D0A00" w:rsidRDefault="008D0A00" w:rsidP="003116A5">
            <w:pPr>
              <w:spacing w:after="200" w:line="276" w:lineRule="auto"/>
              <w:rPr>
                <w:rFonts w:ascii="Book Antiqua" w:hAnsi="Book Antiqua"/>
                <w:b/>
                <w:snapToGrid w:val="0"/>
                <w:highlight w:val="yellow"/>
              </w:rPr>
            </w:pPr>
            <w:r>
              <w:rPr>
                <w:rFonts w:ascii="Book Antiqua" w:hAnsi="Book Antiqua"/>
                <w:b/>
                <w:snapToGrid w:val="0"/>
                <w:highlight w:val="yellow"/>
              </w:rPr>
              <w:t>Il “</w:t>
            </w:r>
            <w:r w:rsidR="003116A5" w:rsidRPr="003116A5">
              <w:rPr>
                <w:rFonts w:ascii="Book Antiqua" w:hAnsi="Book Antiqua"/>
                <w:b/>
                <w:snapToGrid w:val="0"/>
                <w:highlight w:val="yellow"/>
              </w:rPr>
              <w:t xml:space="preserve">Piano triennale di </w:t>
            </w:r>
            <w:r w:rsidR="003116A5" w:rsidRPr="008D0A00">
              <w:rPr>
                <w:rFonts w:ascii="Book Antiqua" w:hAnsi="Book Antiqua"/>
                <w:b/>
                <w:snapToGrid w:val="0"/>
                <w:highlight w:val="yellow"/>
              </w:rPr>
              <w:t>razionalizzazione e riqualificazione della spesa</w:t>
            </w:r>
            <w:r w:rsidRPr="008D0A00">
              <w:rPr>
                <w:rFonts w:ascii="Book Antiqua" w:hAnsi="Book Antiqua"/>
                <w:b/>
                <w:snapToGrid w:val="0"/>
                <w:highlight w:val="yellow"/>
              </w:rPr>
              <w:t>” negli atti di programmazione</w:t>
            </w:r>
            <w:r w:rsidR="003116A5" w:rsidRPr="008D0A00">
              <w:rPr>
                <w:rFonts w:ascii="Book Antiqua" w:hAnsi="Book Antiqua"/>
                <w:b/>
                <w:snapToGrid w:val="0"/>
                <w:highlight w:val="yellow"/>
              </w:rPr>
              <w:t xml:space="preserve"> </w:t>
            </w:r>
          </w:p>
          <w:p w14:paraId="39A74EC4" w14:textId="77777777" w:rsidR="003116A5" w:rsidRDefault="003116A5" w:rsidP="003116A5">
            <w:pPr>
              <w:jc w:val="both"/>
              <w:rPr>
                <w:rFonts w:ascii="Book Antiqua" w:hAnsi="Book Antiqua"/>
                <w:b/>
                <w:snapToGrid w:val="0"/>
              </w:rPr>
            </w:pPr>
            <w:r w:rsidRPr="008D0A00">
              <w:rPr>
                <w:rFonts w:ascii="Book Antiqua" w:hAnsi="Book Antiqua"/>
                <w:b/>
                <w:snapToGrid w:val="0"/>
                <w:highlight w:val="yellow"/>
              </w:rPr>
              <w:t>Dall’anno 2019 il Piano di Razionalizzazione delle Spese di Funzionamento, come da Allegato 4/1 “Principio Contabile Applicato Concernente la Programmazione di Bilancio” allegato al D.Lgs.118/2011 al  punto 8.2, diventa parte integrante e sostanziale del DUP, anche nella versione semplificata per comuni con popolazione fino a 5.000 abitanti (DUPS) e facoltativamente nella versione semplificata per comuni con popolazione fino a 2.000 abitanti., sezione Operativa parte seconda, quale strumento di programmazione relativo all’attività istituzionale.</w:t>
            </w:r>
          </w:p>
          <w:p w14:paraId="628593B0" w14:textId="77777777" w:rsidR="003116A5" w:rsidRPr="00F23B17" w:rsidRDefault="003116A5" w:rsidP="003116A5">
            <w:pPr>
              <w:jc w:val="both"/>
              <w:rPr>
                <w:rFonts w:ascii="Book Antiqua" w:hAnsi="Book Antiqua"/>
                <w:b/>
                <w:snapToGrid w:val="0"/>
              </w:rPr>
            </w:pPr>
          </w:p>
        </w:tc>
      </w:tr>
    </w:tbl>
    <w:p w14:paraId="708FA0BB" w14:textId="77777777" w:rsidR="004A663E" w:rsidRDefault="004A663E" w:rsidP="00514CB5">
      <w:pPr>
        <w:spacing w:before="100" w:beforeAutospacing="1" w:after="100" w:afterAutospacing="1" w:line="360" w:lineRule="auto"/>
        <w:jc w:val="center"/>
      </w:pPr>
    </w:p>
    <w:sectPr w:rsidR="004A663E" w:rsidSect="00514CB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77D4A" w14:textId="77777777" w:rsidR="00FA0437" w:rsidRDefault="00FA0437" w:rsidP="00ED6727">
      <w:r>
        <w:separator/>
      </w:r>
    </w:p>
  </w:endnote>
  <w:endnote w:type="continuationSeparator" w:id="0">
    <w:p w14:paraId="4B0132C3" w14:textId="77777777" w:rsidR="00FA0437" w:rsidRDefault="00FA0437" w:rsidP="00ED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9E57A" w14:textId="77777777" w:rsidR="00ED6727" w:rsidRDefault="00ED67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1874" w14:textId="77777777" w:rsidR="00ED6727" w:rsidRDefault="00ED672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F101C" w14:textId="77777777" w:rsidR="00ED6727" w:rsidRDefault="00ED67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EE51F" w14:textId="77777777" w:rsidR="00FA0437" w:rsidRDefault="00FA0437" w:rsidP="00ED6727">
      <w:r>
        <w:separator/>
      </w:r>
    </w:p>
  </w:footnote>
  <w:footnote w:type="continuationSeparator" w:id="0">
    <w:p w14:paraId="4FF95342" w14:textId="77777777" w:rsidR="00FA0437" w:rsidRDefault="00FA0437" w:rsidP="00ED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2EB4" w14:textId="77777777" w:rsidR="00ED6727" w:rsidRDefault="00ED67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520978"/>
      <w:docPartObj>
        <w:docPartGallery w:val="Watermarks"/>
        <w:docPartUnique/>
      </w:docPartObj>
    </w:sdtPr>
    <w:sdtEndPr/>
    <w:sdtContent>
      <w:p w14:paraId="4FBB16EE" w14:textId="4B613D55" w:rsidR="00ED6727" w:rsidRDefault="00FA0437">
        <w:pPr>
          <w:pStyle w:val="Intestazione"/>
        </w:pPr>
        <w:r>
          <w:pict w14:anchorId="51354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19.35pt;height:59.9pt;rotation:315;z-index:-251658752;mso-position-horizontal:center;mso-position-horizontal-relative:margin;mso-position-vertical:center;mso-position-vertical-relative:margin" o:allowincell="f" fillcolor="silver" stroked="f">
              <v:textpath style="font-family:&quot;calibri&quot;;font-size:1pt" string="BOZZA PER LA PUBBLICA CONSULTAZION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CD99" w14:textId="77777777" w:rsidR="00ED6727" w:rsidRDefault="00ED67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4C6"/>
    <w:multiLevelType w:val="hybridMultilevel"/>
    <w:tmpl w:val="42485576"/>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732DC"/>
    <w:multiLevelType w:val="hybridMultilevel"/>
    <w:tmpl w:val="BAD4ED76"/>
    <w:lvl w:ilvl="0" w:tplc="FFFFFFFF">
      <w:start w:val="1"/>
      <w:numFmt w:val="bullet"/>
      <w:lvlText w:val=""/>
      <w:lvlJc w:val="left"/>
      <w:pPr>
        <w:tabs>
          <w:tab w:val="num" w:pos="663"/>
        </w:tabs>
        <w:ind w:left="1026" w:hanging="360"/>
      </w:pPr>
      <w:rPr>
        <w:rFonts w:ascii="Symbol" w:hAnsi="Symbol" w:hint="default"/>
      </w:rPr>
    </w:lvl>
    <w:lvl w:ilvl="1" w:tplc="FFFFFFFF" w:tentative="1">
      <w:start w:val="1"/>
      <w:numFmt w:val="bullet"/>
      <w:lvlText w:val="o"/>
      <w:lvlJc w:val="left"/>
      <w:pPr>
        <w:tabs>
          <w:tab w:val="num" w:pos="1746"/>
        </w:tabs>
        <w:ind w:left="1746" w:hanging="360"/>
      </w:pPr>
      <w:rPr>
        <w:rFonts w:ascii="Courier New" w:hAnsi="Courier New" w:cs="Courier New" w:hint="default"/>
      </w:rPr>
    </w:lvl>
    <w:lvl w:ilvl="2" w:tplc="FFFFFFFF" w:tentative="1">
      <w:start w:val="1"/>
      <w:numFmt w:val="bullet"/>
      <w:lvlText w:val=""/>
      <w:lvlJc w:val="left"/>
      <w:pPr>
        <w:tabs>
          <w:tab w:val="num" w:pos="2466"/>
        </w:tabs>
        <w:ind w:left="2466" w:hanging="360"/>
      </w:pPr>
      <w:rPr>
        <w:rFonts w:ascii="Wingdings" w:hAnsi="Wingdings" w:hint="default"/>
      </w:rPr>
    </w:lvl>
    <w:lvl w:ilvl="3" w:tplc="FFFFFFFF" w:tentative="1">
      <w:start w:val="1"/>
      <w:numFmt w:val="bullet"/>
      <w:lvlText w:val=""/>
      <w:lvlJc w:val="left"/>
      <w:pPr>
        <w:tabs>
          <w:tab w:val="num" w:pos="3186"/>
        </w:tabs>
        <w:ind w:left="3186" w:hanging="360"/>
      </w:pPr>
      <w:rPr>
        <w:rFonts w:ascii="Symbol" w:hAnsi="Symbol" w:hint="default"/>
      </w:rPr>
    </w:lvl>
    <w:lvl w:ilvl="4" w:tplc="FFFFFFFF" w:tentative="1">
      <w:start w:val="1"/>
      <w:numFmt w:val="bullet"/>
      <w:lvlText w:val="o"/>
      <w:lvlJc w:val="left"/>
      <w:pPr>
        <w:tabs>
          <w:tab w:val="num" w:pos="3906"/>
        </w:tabs>
        <w:ind w:left="3906" w:hanging="360"/>
      </w:pPr>
      <w:rPr>
        <w:rFonts w:ascii="Courier New" w:hAnsi="Courier New" w:cs="Courier New" w:hint="default"/>
      </w:rPr>
    </w:lvl>
    <w:lvl w:ilvl="5" w:tplc="FFFFFFFF" w:tentative="1">
      <w:start w:val="1"/>
      <w:numFmt w:val="bullet"/>
      <w:lvlText w:val=""/>
      <w:lvlJc w:val="left"/>
      <w:pPr>
        <w:tabs>
          <w:tab w:val="num" w:pos="4626"/>
        </w:tabs>
        <w:ind w:left="4626" w:hanging="360"/>
      </w:pPr>
      <w:rPr>
        <w:rFonts w:ascii="Wingdings" w:hAnsi="Wingdings" w:hint="default"/>
      </w:rPr>
    </w:lvl>
    <w:lvl w:ilvl="6" w:tplc="FFFFFFFF" w:tentative="1">
      <w:start w:val="1"/>
      <w:numFmt w:val="bullet"/>
      <w:lvlText w:val=""/>
      <w:lvlJc w:val="left"/>
      <w:pPr>
        <w:tabs>
          <w:tab w:val="num" w:pos="5346"/>
        </w:tabs>
        <w:ind w:left="5346" w:hanging="360"/>
      </w:pPr>
      <w:rPr>
        <w:rFonts w:ascii="Symbol" w:hAnsi="Symbol" w:hint="default"/>
      </w:rPr>
    </w:lvl>
    <w:lvl w:ilvl="7" w:tplc="FFFFFFFF" w:tentative="1">
      <w:start w:val="1"/>
      <w:numFmt w:val="bullet"/>
      <w:lvlText w:val="o"/>
      <w:lvlJc w:val="left"/>
      <w:pPr>
        <w:tabs>
          <w:tab w:val="num" w:pos="6066"/>
        </w:tabs>
        <w:ind w:left="6066" w:hanging="360"/>
      </w:pPr>
      <w:rPr>
        <w:rFonts w:ascii="Courier New" w:hAnsi="Courier New" w:cs="Courier New" w:hint="default"/>
      </w:rPr>
    </w:lvl>
    <w:lvl w:ilvl="8" w:tplc="FFFFFFFF" w:tentative="1">
      <w:start w:val="1"/>
      <w:numFmt w:val="bullet"/>
      <w:lvlText w:val=""/>
      <w:lvlJc w:val="left"/>
      <w:pPr>
        <w:tabs>
          <w:tab w:val="num" w:pos="6786"/>
        </w:tabs>
        <w:ind w:left="6786" w:hanging="360"/>
      </w:pPr>
      <w:rPr>
        <w:rFonts w:ascii="Wingdings" w:hAnsi="Wingdings" w:hint="default"/>
      </w:rPr>
    </w:lvl>
  </w:abstractNum>
  <w:abstractNum w:abstractNumId="2" w15:restartNumberingAfterBreak="0">
    <w:nsid w:val="0EF748AE"/>
    <w:multiLevelType w:val="hybridMultilevel"/>
    <w:tmpl w:val="0D8AA4AA"/>
    <w:lvl w:ilvl="0" w:tplc="6778F1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37472B"/>
    <w:multiLevelType w:val="hybridMultilevel"/>
    <w:tmpl w:val="105ABC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02426"/>
    <w:multiLevelType w:val="hybridMultilevel"/>
    <w:tmpl w:val="FA80C75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BC7A37"/>
    <w:multiLevelType w:val="hybridMultilevel"/>
    <w:tmpl w:val="E71CC778"/>
    <w:lvl w:ilvl="0" w:tplc="748A4D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C513E3"/>
    <w:multiLevelType w:val="hybridMultilevel"/>
    <w:tmpl w:val="4516BB0A"/>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8A718B"/>
    <w:multiLevelType w:val="hybridMultilevel"/>
    <w:tmpl w:val="66266112"/>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DB31F1"/>
    <w:multiLevelType w:val="hybridMultilevel"/>
    <w:tmpl w:val="4B824C1C"/>
    <w:lvl w:ilvl="0" w:tplc="EC6CB4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F86F51"/>
    <w:multiLevelType w:val="hybridMultilevel"/>
    <w:tmpl w:val="CF6AB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8D3D99"/>
    <w:multiLevelType w:val="hybridMultilevel"/>
    <w:tmpl w:val="D090DDC0"/>
    <w:lvl w:ilvl="0" w:tplc="721CF4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7744CF"/>
    <w:multiLevelType w:val="hybridMultilevel"/>
    <w:tmpl w:val="7034F9BE"/>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13313D"/>
    <w:multiLevelType w:val="hybridMultilevel"/>
    <w:tmpl w:val="6AD0214A"/>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1F25AC"/>
    <w:multiLevelType w:val="hybridMultilevel"/>
    <w:tmpl w:val="FF7278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A632D2"/>
    <w:multiLevelType w:val="hybridMultilevel"/>
    <w:tmpl w:val="830CCD7E"/>
    <w:lvl w:ilvl="0" w:tplc="BD0892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C73D00"/>
    <w:multiLevelType w:val="hybridMultilevel"/>
    <w:tmpl w:val="BFD606E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894D95"/>
    <w:multiLevelType w:val="hybridMultilevel"/>
    <w:tmpl w:val="02C80984"/>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477D6E"/>
    <w:multiLevelType w:val="multilevel"/>
    <w:tmpl w:val="B8145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BC1332"/>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0F7663"/>
    <w:multiLevelType w:val="hybridMultilevel"/>
    <w:tmpl w:val="27D445DE"/>
    <w:lvl w:ilvl="0" w:tplc="40AE9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096BD6"/>
    <w:multiLevelType w:val="hybridMultilevel"/>
    <w:tmpl w:val="66727B02"/>
    <w:lvl w:ilvl="0" w:tplc="CA8E3E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465FB4"/>
    <w:multiLevelType w:val="hybridMultilevel"/>
    <w:tmpl w:val="88E8911A"/>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AF87A65"/>
    <w:multiLevelType w:val="hybridMultilevel"/>
    <w:tmpl w:val="76B44E20"/>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A746A0"/>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E04D5C"/>
    <w:multiLevelType w:val="hybridMultilevel"/>
    <w:tmpl w:val="1A1892FC"/>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E04419B"/>
    <w:multiLevelType w:val="hybridMultilevel"/>
    <w:tmpl w:val="23F4CA58"/>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9"/>
  </w:num>
  <w:num w:numId="3">
    <w:abstractNumId w:val="8"/>
  </w:num>
  <w:num w:numId="4">
    <w:abstractNumId w:val="20"/>
  </w:num>
  <w:num w:numId="5">
    <w:abstractNumId w:val="21"/>
  </w:num>
  <w:num w:numId="6">
    <w:abstractNumId w:val="11"/>
  </w:num>
  <w:num w:numId="7">
    <w:abstractNumId w:val="0"/>
  </w:num>
  <w:num w:numId="8">
    <w:abstractNumId w:val="1"/>
  </w:num>
  <w:num w:numId="9">
    <w:abstractNumId w:val="13"/>
  </w:num>
  <w:num w:numId="10">
    <w:abstractNumId w:val="12"/>
  </w:num>
  <w:num w:numId="11">
    <w:abstractNumId w:val="15"/>
  </w:num>
  <w:num w:numId="12">
    <w:abstractNumId w:val="6"/>
  </w:num>
  <w:num w:numId="13">
    <w:abstractNumId w:val="3"/>
  </w:num>
  <w:num w:numId="14">
    <w:abstractNumId w:val="22"/>
  </w:num>
  <w:num w:numId="15">
    <w:abstractNumId w:val="4"/>
  </w:num>
  <w:num w:numId="16">
    <w:abstractNumId w:val="25"/>
  </w:num>
  <w:num w:numId="17">
    <w:abstractNumId w:val="14"/>
  </w:num>
  <w:num w:numId="18">
    <w:abstractNumId w:val="10"/>
  </w:num>
  <w:num w:numId="19">
    <w:abstractNumId w:val="17"/>
  </w:num>
  <w:num w:numId="20">
    <w:abstractNumId w:val="2"/>
  </w:num>
  <w:num w:numId="21">
    <w:abstractNumId w:val="23"/>
  </w:num>
  <w:num w:numId="22">
    <w:abstractNumId w:val="18"/>
  </w:num>
  <w:num w:numId="23">
    <w:abstractNumId w:val="24"/>
  </w:num>
  <w:num w:numId="24">
    <w:abstractNumId w:val="5"/>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7EFB"/>
    <w:rsid w:val="000040AB"/>
    <w:rsid w:val="000A7F37"/>
    <w:rsid w:val="000B1C23"/>
    <w:rsid w:val="000C4064"/>
    <w:rsid w:val="00104E8C"/>
    <w:rsid w:val="0010705A"/>
    <w:rsid w:val="00135207"/>
    <w:rsid w:val="00141DC1"/>
    <w:rsid w:val="00191A68"/>
    <w:rsid w:val="001B6A9E"/>
    <w:rsid w:val="001D5AF8"/>
    <w:rsid w:val="001D7D1C"/>
    <w:rsid w:val="00220D31"/>
    <w:rsid w:val="00227EFB"/>
    <w:rsid w:val="002472C6"/>
    <w:rsid w:val="002479C7"/>
    <w:rsid w:val="002B3C58"/>
    <w:rsid w:val="002D2425"/>
    <w:rsid w:val="002E02AE"/>
    <w:rsid w:val="002E14EB"/>
    <w:rsid w:val="003017BE"/>
    <w:rsid w:val="003116A5"/>
    <w:rsid w:val="003120C4"/>
    <w:rsid w:val="00316930"/>
    <w:rsid w:val="00345CF7"/>
    <w:rsid w:val="00364B15"/>
    <w:rsid w:val="003B08CF"/>
    <w:rsid w:val="003E1740"/>
    <w:rsid w:val="00404733"/>
    <w:rsid w:val="004267A7"/>
    <w:rsid w:val="004A663E"/>
    <w:rsid w:val="004F6DC1"/>
    <w:rsid w:val="004F7CAA"/>
    <w:rsid w:val="00514CB5"/>
    <w:rsid w:val="00545665"/>
    <w:rsid w:val="005812CD"/>
    <w:rsid w:val="005E1D88"/>
    <w:rsid w:val="00600796"/>
    <w:rsid w:val="00652BD1"/>
    <w:rsid w:val="00657F77"/>
    <w:rsid w:val="00662FDA"/>
    <w:rsid w:val="006C4A6B"/>
    <w:rsid w:val="006C521D"/>
    <w:rsid w:val="00725D13"/>
    <w:rsid w:val="00740D40"/>
    <w:rsid w:val="007837DF"/>
    <w:rsid w:val="007A1CEA"/>
    <w:rsid w:val="007B5226"/>
    <w:rsid w:val="007F02E7"/>
    <w:rsid w:val="00802D40"/>
    <w:rsid w:val="008230A8"/>
    <w:rsid w:val="0086454F"/>
    <w:rsid w:val="00864F79"/>
    <w:rsid w:val="0087468C"/>
    <w:rsid w:val="008A09B2"/>
    <w:rsid w:val="008D0A00"/>
    <w:rsid w:val="00903BE4"/>
    <w:rsid w:val="00905468"/>
    <w:rsid w:val="009063E3"/>
    <w:rsid w:val="00950B80"/>
    <w:rsid w:val="009751C9"/>
    <w:rsid w:val="00987BAC"/>
    <w:rsid w:val="0099702D"/>
    <w:rsid w:val="009D2498"/>
    <w:rsid w:val="009D772A"/>
    <w:rsid w:val="009E1292"/>
    <w:rsid w:val="00A17C3E"/>
    <w:rsid w:val="00A56E86"/>
    <w:rsid w:val="00A8547D"/>
    <w:rsid w:val="00AA733E"/>
    <w:rsid w:val="00AC2ED9"/>
    <w:rsid w:val="00AC732C"/>
    <w:rsid w:val="00AF7992"/>
    <w:rsid w:val="00B22885"/>
    <w:rsid w:val="00B30D36"/>
    <w:rsid w:val="00B76D21"/>
    <w:rsid w:val="00B8307D"/>
    <w:rsid w:val="00BE0630"/>
    <w:rsid w:val="00C34E86"/>
    <w:rsid w:val="00C36ABD"/>
    <w:rsid w:val="00C9567A"/>
    <w:rsid w:val="00CB1E36"/>
    <w:rsid w:val="00CB5794"/>
    <w:rsid w:val="00D50BA1"/>
    <w:rsid w:val="00D77708"/>
    <w:rsid w:val="00D93FAC"/>
    <w:rsid w:val="00DA6C6D"/>
    <w:rsid w:val="00E15E90"/>
    <w:rsid w:val="00E17760"/>
    <w:rsid w:val="00E17FE6"/>
    <w:rsid w:val="00E431BC"/>
    <w:rsid w:val="00E53BC5"/>
    <w:rsid w:val="00E56E02"/>
    <w:rsid w:val="00E71C9D"/>
    <w:rsid w:val="00EA47E1"/>
    <w:rsid w:val="00EA5C69"/>
    <w:rsid w:val="00EB5658"/>
    <w:rsid w:val="00EC7D1E"/>
    <w:rsid w:val="00ED383F"/>
    <w:rsid w:val="00ED6727"/>
    <w:rsid w:val="00EE4081"/>
    <w:rsid w:val="00EF2114"/>
    <w:rsid w:val="00F23B17"/>
    <w:rsid w:val="00F360F4"/>
    <w:rsid w:val="00F41169"/>
    <w:rsid w:val="00F41CC3"/>
    <w:rsid w:val="00F7795B"/>
    <w:rsid w:val="00F8644E"/>
    <w:rsid w:val="00F872D3"/>
    <w:rsid w:val="00F97FDB"/>
    <w:rsid w:val="00FA0437"/>
    <w:rsid w:val="00FD0DBE"/>
    <w:rsid w:val="00FE52F7"/>
    <w:rsid w:val="00FF4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BFACB4"/>
  <w15:docId w15:val="{1A8FF6C4-387D-4E68-BC8F-554968ED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EF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D383F"/>
    <w:pPr>
      <w:spacing w:before="100" w:beforeAutospacing="1" w:after="100" w:afterAutospacing="1"/>
    </w:pPr>
    <w:rPr>
      <w:sz w:val="24"/>
      <w:szCs w:val="24"/>
    </w:rPr>
  </w:style>
  <w:style w:type="character" w:customStyle="1" w:styleId="TestonormaleCarattere">
    <w:name w:val="Testo normale Carattere"/>
    <w:basedOn w:val="Carpredefinitoparagrafo"/>
    <w:link w:val="Testonormale"/>
    <w:uiPriority w:val="99"/>
    <w:semiHidden/>
    <w:rsid w:val="00ED383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8644E"/>
    <w:pPr>
      <w:ind w:left="720"/>
      <w:contextualSpacing/>
    </w:pPr>
  </w:style>
  <w:style w:type="paragraph" w:styleId="PreformattatoHTML">
    <w:name w:val="HTML Preformatted"/>
    <w:basedOn w:val="Normale"/>
    <w:link w:val="PreformattatoHTMLCarattere"/>
    <w:uiPriority w:val="99"/>
    <w:unhideWhenUsed/>
    <w:rsid w:val="0095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950B80"/>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F23B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B1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D6727"/>
    <w:pPr>
      <w:tabs>
        <w:tab w:val="center" w:pos="4819"/>
        <w:tab w:val="right" w:pos="9638"/>
      </w:tabs>
    </w:pPr>
  </w:style>
  <w:style w:type="character" w:customStyle="1" w:styleId="IntestazioneCarattere">
    <w:name w:val="Intestazione Carattere"/>
    <w:basedOn w:val="Carpredefinitoparagrafo"/>
    <w:link w:val="Intestazione"/>
    <w:uiPriority w:val="99"/>
    <w:rsid w:val="00ED672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D6727"/>
    <w:pPr>
      <w:tabs>
        <w:tab w:val="center" w:pos="4819"/>
        <w:tab w:val="right" w:pos="9638"/>
      </w:tabs>
    </w:pPr>
  </w:style>
  <w:style w:type="character" w:customStyle="1" w:styleId="PidipaginaCarattere">
    <w:name w:val="Piè di pagina Carattere"/>
    <w:basedOn w:val="Carpredefinitoparagrafo"/>
    <w:link w:val="Pidipagina"/>
    <w:uiPriority w:val="99"/>
    <w:rsid w:val="00ED672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9144">
      <w:bodyDiv w:val="1"/>
      <w:marLeft w:val="0"/>
      <w:marRight w:val="0"/>
      <w:marTop w:val="0"/>
      <w:marBottom w:val="0"/>
      <w:divBdr>
        <w:top w:val="none" w:sz="0" w:space="0" w:color="auto"/>
        <w:left w:val="none" w:sz="0" w:space="0" w:color="auto"/>
        <w:bottom w:val="none" w:sz="0" w:space="0" w:color="auto"/>
        <w:right w:val="none" w:sz="0" w:space="0" w:color="auto"/>
      </w:divBdr>
      <w:divsChild>
        <w:div w:id="1779568444">
          <w:marLeft w:val="0"/>
          <w:marRight w:val="0"/>
          <w:marTop w:val="0"/>
          <w:marBottom w:val="0"/>
          <w:divBdr>
            <w:top w:val="none" w:sz="0" w:space="0" w:color="auto"/>
            <w:left w:val="none" w:sz="0" w:space="0" w:color="auto"/>
            <w:bottom w:val="none" w:sz="0" w:space="0" w:color="auto"/>
            <w:right w:val="none" w:sz="0" w:space="0" w:color="auto"/>
          </w:divBdr>
          <w:divsChild>
            <w:div w:id="1427113770">
              <w:marLeft w:val="0"/>
              <w:marRight w:val="0"/>
              <w:marTop w:val="480"/>
              <w:marBottom w:val="0"/>
              <w:divBdr>
                <w:top w:val="none" w:sz="0" w:space="0" w:color="auto"/>
                <w:left w:val="none" w:sz="0" w:space="0" w:color="auto"/>
                <w:bottom w:val="none" w:sz="0" w:space="0" w:color="auto"/>
                <w:right w:val="none" w:sz="0" w:space="0" w:color="auto"/>
              </w:divBdr>
              <w:divsChild>
                <w:div w:id="16312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85430">
      <w:bodyDiv w:val="1"/>
      <w:marLeft w:val="0"/>
      <w:marRight w:val="0"/>
      <w:marTop w:val="0"/>
      <w:marBottom w:val="0"/>
      <w:divBdr>
        <w:top w:val="none" w:sz="0" w:space="0" w:color="auto"/>
        <w:left w:val="none" w:sz="0" w:space="0" w:color="auto"/>
        <w:bottom w:val="none" w:sz="0" w:space="0" w:color="auto"/>
        <w:right w:val="none" w:sz="0" w:space="0" w:color="auto"/>
      </w:divBdr>
    </w:div>
    <w:div w:id="357514126">
      <w:bodyDiv w:val="1"/>
      <w:marLeft w:val="0"/>
      <w:marRight w:val="0"/>
      <w:marTop w:val="0"/>
      <w:marBottom w:val="0"/>
      <w:divBdr>
        <w:top w:val="none" w:sz="0" w:space="0" w:color="auto"/>
        <w:left w:val="none" w:sz="0" w:space="0" w:color="auto"/>
        <w:bottom w:val="none" w:sz="0" w:space="0" w:color="auto"/>
        <w:right w:val="none" w:sz="0" w:space="0" w:color="auto"/>
      </w:divBdr>
    </w:div>
    <w:div w:id="486555347">
      <w:bodyDiv w:val="1"/>
      <w:marLeft w:val="0"/>
      <w:marRight w:val="0"/>
      <w:marTop w:val="0"/>
      <w:marBottom w:val="0"/>
      <w:divBdr>
        <w:top w:val="none" w:sz="0" w:space="0" w:color="auto"/>
        <w:left w:val="none" w:sz="0" w:space="0" w:color="auto"/>
        <w:bottom w:val="none" w:sz="0" w:space="0" w:color="auto"/>
        <w:right w:val="none" w:sz="0" w:space="0" w:color="auto"/>
      </w:divBdr>
    </w:div>
    <w:div w:id="492448463">
      <w:bodyDiv w:val="1"/>
      <w:marLeft w:val="0"/>
      <w:marRight w:val="0"/>
      <w:marTop w:val="0"/>
      <w:marBottom w:val="0"/>
      <w:divBdr>
        <w:top w:val="none" w:sz="0" w:space="0" w:color="auto"/>
        <w:left w:val="none" w:sz="0" w:space="0" w:color="auto"/>
        <w:bottom w:val="none" w:sz="0" w:space="0" w:color="auto"/>
        <w:right w:val="none" w:sz="0" w:space="0" w:color="auto"/>
      </w:divBdr>
    </w:div>
    <w:div w:id="499547917">
      <w:bodyDiv w:val="1"/>
      <w:marLeft w:val="0"/>
      <w:marRight w:val="0"/>
      <w:marTop w:val="0"/>
      <w:marBottom w:val="0"/>
      <w:divBdr>
        <w:top w:val="none" w:sz="0" w:space="0" w:color="auto"/>
        <w:left w:val="none" w:sz="0" w:space="0" w:color="auto"/>
        <w:bottom w:val="none" w:sz="0" w:space="0" w:color="auto"/>
        <w:right w:val="none" w:sz="0" w:space="0" w:color="auto"/>
      </w:divBdr>
    </w:div>
    <w:div w:id="516817479">
      <w:bodyDiv w:val="1"/>
      <w:marLeft w:val="0"/>
      <w:marRight w:val="0"/>
      <w:marTop w:val="0"/>
      <w:marBottom w:val="0"/>
      <w:divBdr>
        <w:top w:val="none" w:sz="0" w:space="0" w:color="auto"/>
        <w:left w:val="none" w:sz="0" w:space="0" w:color="auto"/>
        <w:bottom w:val="none" w:sz="0" w:space="0" w:color="auto"/>
        <w:right w:val="none" w:sz="0" w:space="0" w:color="auto"/>
      </w:divBdr>
    </w:div>
    <w:div w:id="707684242">
      <w:bodyDiv w:val="1"/>
      <w:marLeft w:val="0"/>
      <w:marRight w:val="0"/>
      <w:marTop w:val="125"/>
      <w:marBottom w:val="0"/>
      <w:divBdr>
        <w:top w:val="none" w:sz="0" w:space="0" w:color="auto"/>
        <w:left w:val="none" w:sz="0" w:space="0" w:color="auto"/>
        <w:bottom w:val="none" w:sz="0" w:space="0" w:color="auto"/>
        <w:right w:val="none" w:sz="0" w:space="0" w:color="auto"/>
      </w:divBdr>
      <w:divsChild>
        <w:div w:id="1544639695">
          <w:marLeft w:val="0"/>
          <w:marRight w:val="0"/>
          <w:marTop w:val="0"/>
          <w:marBottom w:val="0"/>
          <w:divBdr>
            <w:top w:val="none" w:sz="0" w:space="0" w:color="auto"/>
            <w:left w:val="none" w:sz="0" w:space="0" w:color="auto"/>
            <w:bottom w:val="none" w:sz="0" w:space="0" w:color="auto"/>
            <w:right w:val="none" w:sz="0" w:space="0" w:color="auto"/>
          </w:divBdr>
          <w:divsChild>
            <w:div w:id="1505781883">
              <w:marLeft w:val="0"/>
              <w:marRight w:val="0"/>
              <w:marTop w:val="480"/>
              <w:marBottom w:val="0"/>
              <w:divBdr>
                <w:top w:val="none" w:sz="0" w:space="0" w:color="auto"/>
                <w:left w:val="none" w:sz="0" w:space="0" w:color="auto"/>
                <w:bottom w:val="none" w:sz="0" w:space="0" w:color="auto"/>
                <w:right w:val="none" w:sz="0" w:space="0" w:color="auto"/>
              </w:divBdr>
              <w:divsChild>
                <w:div w:id="72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74800">
      <w:bodyDiv w:val="1"/>
      <w:marLeft w:val="0"/>
      <w:marRight w:val="0"/>
      <w:marTop w:val="0"/>
      <w:marBottom w:val="0"/>
      <w:divBdr>
        <w:top w:val="none" w:sz="0" w:space="0" w:color="auto"/>
        <w:left w:val="none" w:sz="0" w:space="0" w:color="auto"/>
        <w:bottom w:val="none" w:sz="0" w:space="0" w:color="auto"/>
        <w:right w:val="none" w:sz="0" w:space="0" w:color="auto"/>
      </w:divBdr>
    </w:div>
    <w:div w:id="1140466478">
      <w:bodyDiv w:val="1"/>
      <w:marLeft w:val="0"/>
      <w:marRight w:val="0"/>
      <w:marTop w:val="0"/>
      <w:marBottom w:val="0"/>
      <w:divBdr>
        <w:top w:val="none" w:sz="0" w:space="0" w:color="auto"/>
        <w:left w:val="none" w:sz="0" w:space="0" w:color="auto"/>
        <w:bottom w:val="none" w:sz="0" w:space="0" w:color="auto"/>
        <w:right w:val="none" w:sz="0" w:space="0" w:color="auto"/>
      </w:divBdr>
    </w:div>
    <w:div w:id="1219897671">
      <w:bodyDiv w:val="1"/>
      <w:marLeft w:val="0"/>
      <w:marRight w:val="0"/>
      <w:marTop w:val="0"/>
      <w:marBottom w:val="0"/>
      <w:divBdr>
        <w:top w:val="none" w:sz="0" w:space="0" w:color="auto"/>
        <w:left w:val="none" w:sz="0" w:space="0" w:color="auto"/>
        <w:bottom w:val="none" w:sz="0" w:space="0" w:color="auto"/>
        <w:right w:val="none" w:sz="0" w:space="0" w:color="auto"/>
      </w:divBdr>
    </w:div>
    <w:div w:id="1221137558">
      <w:bodyDiv w:val="1"/>
      <w:marLeft w:val="0"/>
      <w:marRight w:val="0"/>
      <w:marTop w:val="0"/>
      <w:marBottom w:val="0"/>
      <w:divBdr>
        <w:top w:val="none" w:sz="0" w:space="0" w:color="auto"/>
        <w:left w:val="none" w:sz="0" w:space="0" w:color="auto"/>
        <w:bottom w:val="none" w:sz="0" w:space="0" w:color="auto"/>
        <w:right w:val="none" w:sz="0" w:space="0" w:color="auto"/>
      </w:divBdr>
    </w:div>
    <w:div w:id="1224411972">
      <w:bodyDiv w:val="1"/>
      <w:marLeft w:val="0"/>
      <w:marRight w:val="0"/>
      <w:marTop w:val="0"/>
      <w:marBottom w:val="0"/>
      <w:divBdr>
        <w:top w:val="none" w:sz="0" w:space="0" w:color="auto"/>
        <w:left w:val="none" w:sz="0" w:space="0" w:color="auto"/>
        <w:bottom w:val="none" w:sz="0" w:space="0" w:color="auto"/>
        <w:right w:val="none" w:sz="0" w:space="0" w:color="auto"/>
      </w:divBdr>
    </w:div>
    <w:div w:id="1224484651">
      <w:bodyDiv w:val="1"/>
      <w:marLeft w:val="0"/>
      <w:marRight w:val="0"/>
      <w:marTop w:val="125"/>
      <w:marBottom w:val="0"/>
      <w:divBdr>
        <w:top w:val="none" w:sz="0" w:space="0" w:color="auto"/>
        <w:left w:val="none" w:sz="0" w:space="0" w:color="auto"/>
        <w:bottom w:val="none" w:sz="0" w:space="0" w:color="auto"/>
        <w:right w:val="none" w:sz="0" w:space="0" w:color="auto"/>
      </w:divBdr>
      <w:divsChild>
        <w:div w:id="1825198951">
          <w:marLeft w:val="0"/>
          <w:marRight w:val="0"/>
          <w:marTop w:val="0"/>
          <w:marBottom w:val="0"/>
          <w:divBdr>
            <w:top w:val="none" w:sz="0" w:space="0" w:color="auto"/>
            <w:left w:val="none" w:sz="0" w:space="0" w:color="auto"/>
            <w:bottom w:val="none" w:sz="0" w:space="0" w:color="auto"/>
            <w:right w:val="none" w:sz="0" w:space="0" w:color="auto"/>
          </w:divBdr>
          <w:divsChild>
            <w:div w:id="537594350">
              <w:marLeft w:val="0"/>
              <w:marRight w:val="0"/>
              <w:marTop w:val="480"/>
              <w:marBottom w:val="0"/>
              <w:divBdr>
                <w:top w:val="none" w:sz="0" w:space="0" w:color="auto"/>
                <w:left w:val="none" w:sz="0" w:space="0" w:color="auto"/>
                <w:bottom w:val="none" w:sz="0" w:space="0" w:color="auto"/>
                <w:right w:val="none" w:sz="0" w:space="0" w:color="auto"/>
              </w:divBdr>
              <w:divsChild>
                <w:div w:id="743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87413">
      <w:bodyDiv w:val="1"/>
      <w:marLeft w:val="0"/>
      <w:marRight w:val="0"/>
      <w:marTop w:val="0"/>
      <w:marBottom w:val="0"/>
      <w:divBdr>
        <w:top w:val="none" w:sz="0" w:space="0" w:color="auto"/>
        <w:left w:val="none" w:sz="0" w:space="0" w:color="auto"/>
        <w:bottom w:val="none" w:sz="0" w:space="0" w:color="auto"/>
        <w:right w:val="none" w:sz="0" w:space="0" w:color="auto"/>
      </w:divBdr>
    </w:div>
    <w:div w:id="1346060094">
      <w:bodyDiv w:val="1"/>
      <w:marLeft w:val="0"/>
      <w:marRight w:val="0"/>
      <w:marTop w:val="0"/>
      <w:marBottom w:val="0"/>
      <w:divBdr>
        <w:top w:val="none" w:sz="0" w:space="0" w:color="auto"/>
        <w:left w:val="none" w:sz="0" w:space="0" w:color="auto"/>
        <w:bottom w:val="none" w:sz="0" w:space="0" w:color="auto"/>
        <w:right w:val="none" w:sz="0" w:space="0" w:color="auto"/>
      </w:divBdr>
    </w:div>
    <w:div w:id="1423450057">
      <w:bodyDiv w:val="1"/>
      <w:marLeft w:val="0"/>
      <w:marRight w:val="0"/>
      <w:marTop w:val="0"/>
      <w:marBottom w:val="0"/>
      <w:divBdr>
        <w:top w:val="none" w:sz="0" w:space="0" w:color="auto"/>
        <w:left w:val="none" w:sz="0" w:space="0" w:color="auto"/>
        <w:bottom w:val="none" w:sz="0" w:space="0" w:color="auto"/>
        <w:right w:val="none" w:sz="0" w:space="0" w:color="auto"/>
      </w:divBdr>
    </w:div>
    <w:div w:id="1440249163">
      <w:bodyDiv w:val="1"/>
      <w:marLeft w:val="0"/>
      <w:marRight w:val="0"/>
      <w:marTop w:val="0"/>
      <w:marBottom w:val="0"/>
      <w:divBdr>
        <w:top w:val="none" w:sz="0" w:space="0" w:color="auto"/>
        <w:left w:val="none" w:sz="0" w:space="0" w:color="auto"/>
        <w:bottom w:val="none" w:sz="0" w:space="0" w:color="auto"/>
        <w:right w:val="none" w:sz="0" w:space="0" w:color="auto"/>
      </w:divBdr>
    </w:div>
    <w:div w:id="1497457905">
      <w:bodyDiv w:val="1"/>
      <w:marLeft w:val="0"/>
      <w:marRight w:val="0"/>
      <w:marTop w:val="0"/>
      <w:marBottom w:val="0"/>
      <w:divBdr>
        <w:top w:val="none" w:sz="0" w:space="0" w:color="auto"/>
        <w:left w:val="none" w:sz="0" w:space="0" w:color="auto"/>
        <w:bottom w:val="none" w:sz="0" w:space="0" w:color="auto"/>
        <w:right w:val="none" w:sz="0" w:space="0" w:color="auto"/>
      </w:divBdr>
    </w:div>
    <w:div w:id="1742870336">
      <w:bodyDiv w:val="1"/>
      <w:marLeft w:val="0"/>
      <w:marRight w:val="0"/>
      <w:marTop w:val="0"/>
      <w:marBottom w:val="0"/>
      <w:divBdr>
        <w:top w:val="none" w:sz="0" w:space="0" w:color="auto"/>
        <w:left w:val="none" w:sz="0" w:space="0" w:color="auto"/>
        <w:bottom w:val="none" w:sz="0" w:space="0" w:color="auto"/>
        <w:right w:val="none" w:sz="0" w:space="0" w:color="auto"/>
      </w:divBdr>
    </w:div>
    <w:div w:id="1811244763">
      <w:bodyDiv w:val="1"/>
      <w:marLeft w:val="0"/>
      <w:marRight w:val="0"/>
      <w:marTop w:val="0"/>
      <w:marBottom w:val="0"/>
      <w:divBdr>
        <w:top w:val="none" w:sz="0" w:space="0" w:color="auto"/>
        <w:left w:val="none" w:sz="0" w:space="0" w:color="auto"/>
        <w:bottom w:val="none" w:sz="0" w:space="0" w:color="auto"/>
        <w:right w:val="none" w:sz="0" w:space="0" w:color="auto"/>
      </w:divBdr>
    </w:div>
    <w:div w:id="1823543619">
      <w:bodyDiv w:val="1"/>
      <w:marLeft w:val="0"/>
      <w:marRight w:val="0"/>
      <w:marTop w:val="0"/>
      <w:marBottom w:val="0"/>
      <w:divBdr>
        <w:top w:val="none" w:sz="0" w:space="0" w:color="auto"/>
        <w:left w:val="none" w:sz="0" w:space="0" w:color="auto"/>
        <w:bottom w:val="none" w:sz="0" w:space="0" w:color="auto"/>
        <w:right w:val="none" w:sz="0" w:space="0" w:color="auto"/>
      </w:divBdr>
      <w:divsChild>
        <w:div w:id="952788805">
          <w:marLeft w:val="0"/>
          <w:marRight w:val="0"/>
          <w:marTop w:val="0"/>
          <w:marBottom w:val="0"/>
          <w:divBdr>
            <w:top w:val="none" w:sz="0" w:space="0" w:color="auto"/>
            <w:left w:val="none" w:sz="0" w:space="0" w:color="auto"/>
            <w:bottom w:val="none" w:sz="0" w:space="0" w:color="auto"/>
            <w:right w:val="none" w:sz="0" w:space="0" w:color="auto"/>
          </w:divBdr>
          <w:divsChild>
            <w:div w:id="1882282619">
              <w:marLeft w:val="0"/>
              <w:marRight w:val="0"/>
              <w:marTop w:val="480"/>
              <w:marBottom w:val="0"/>
              <w:divBdr>
                <w:top w:val="none" w:sz="0" w:space="0" w:color="auto"/>
                <w:left w:val="none" w:sz="0" w:space="0" w:color="auto"/>
                <w:bottom w:val="none" w:sz="0" w:space="0" w:color="auto"/>
                <w:right w:val="none" w:sz="0" w:space="0" w:color="auto"/>
              </w:divBdr>
              <w:divsChild>
                <w:div w:id="2554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49409">
      <w:bodyDiv w:val="1"/>
      <w:marLeft w:val="0"/>
      <w:marRight w:val="0"/>
      <w:marTop w:val="0"/>
      <w:marBottom w:val="0"/>
      <w:divBdr>
        <w:top w:val="none" w:sz="0" w:space="0" w:color="auto"/>
        <w:left w:val="none" w:sz="0" w:space="0" w:color="auto"/>
        <w:bottom w:val="none" w:sz="0" w:space="0" w:color="auto"/>
        <w:right w:val="none" w:sz="0" w:space="0" w:color="auto"/>
      </w:divBdr>
      <w:divsChild>
        <w:div w:id="824006725">
          <w:marLeft w:val="0"/>
          <w:marRight w:val="0"/>
          <w:marTop w:val="0"/>
          <w:marBottom w:val="0"/>
          <w:divBdr>
            <w:top w:val="none" w:sz="0" w:space="0" w:color="auto"/>
            <w:left w:val="none" w:sz="0" w:space="0" w:color="auto"/>
            <w:bottom w:val="none" w:sz="0" w:space="0" w:color="auto"/>
            <w:right w:val="none" w:sz="0" w:space="0" w:color="auto"/>
          </w:divBdr>
          <w:divsChild>
            <w:div w:id="1179736482">
              <w:marLeft w:val="0"/>
              <w:marRight w:val="0"/>
              <w:marTop w:val="480"/>
              <w:marBottom w:val="0"/>
              <w:divBdr>
                <w:top w:val="none" w:sz="0" w:space="0" w:color="auto"/>
                <w:left w:val="none" w:sz="0" w:space="0" w:color="auto"/>
                <w:bottom w:val="none" w:sz="0" w:space="0" w:color="auto"/>
                <w:right w:val="none" w:sz="0" w:space="0" w:color="auto"/>
              </w:divBdr>
              <w:divsChild>
                <w:div w:id="4457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ilfisco.it/perl/fol-new.pl?log-ssckey=81730e6b989f8ad99129b4a138773fd4-209;log-ckey=%2412053988;cmd-doc=18638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ilfisco.it/perl/fol-new.pl?log-ssckey=81730e6b989f8ad99129b4a138773fd4-209;log-ckey=%2412053988;cmd-doc=186392"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C75B3-C4BD-42DC-973F-CE6375F9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1014</Words>
  <Characters>5785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Anna De Toni</cp:lastModifiedBy>
  <cp:revision>12</cp:revision>
  <cp:lastPrinted>2020-01-30T12:29:00Z</cp:lastPrinted>
  <dcterms:created xsi:type="dcterms:W3CDTF">2019-11-17T11:45:00Z</dcterms:created>
  <dcterms:modified xsi:type="dcterms:W3CDTF">2020-06-09T15:47:00Z</dcterms:modified>
</cp:coreProperties>
</file>