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21454" w14:textId="77777777" w:rsidR="00227EFB" w:rsidRDefault="00227EFB" w:rsidP="00227EFB">
      <w:pPr>
        <w:rPr>
          <w:b/>
          <w:sz w:val="24"/>
        </w:rPr>
      </w:pPr>
    </w:p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850"/>
        <w:gridCol w:w="3119"/>
      </w:tblGrid>
      <w:tr w:rsidR="000547F8" w:rsidRPr="00306E6B" w14:paraId="763CD002" w14:textId="77777777" w:rsidTr="00D86716">
        <w:trPr>
          <w:cantSplit/>
          <w:trHeight w:val="126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E2A931" w14:textId="77777777" w:rsidR="000547F8" w:rsidRPr="00F96B8D" w:rsidRDefault="000547F8" w:rsidP="00D86716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  <w:r w:rsidRPr="00F96B8D">
              <w:rPr>
                <w:rFonts w:ascii="Book Antiqua" w:hAnsi="Book Antiqua"/>
                <w:b/>
                <w:snapToGrid w:val="0"/>
                <w:sz w:val="24"/>
                <w:szCs w:val="24"/>
              </w:rPr>
              <w:t>CHECK LIST</w:t>
            </w:r>
          </w:p>
          <w:p w14:paraId="5F818C00" w14:textId="77777777" w:rsidR="000547F8" w:rsidRPr="00611795" w:rsidRDefault="000547F8" w:rsidP="00D86716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2"/>
                <w:szCs w:val="22"/>
              </w:rPr>
            </w:pPr>
          </w:p>
          <w:p w14:paraId="07E4B59E" w14:textId="77777777" w:rsidR="000547F8" w:rsidRPr="00611795" w:rsidRDefault="000547F8" w:rsidP="000547F8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  <w:r w:rsidRPr="00611795">
              <w:rPr>
                <w:rFonts w:ascii="Book Antiqua" w:hAnsi="Book Antiqua"/>
                <w:b/>
                <w:snapToGrid w:val="0"/>
                <w:sz w:val="22"/>
                <w:szCs w:val="22"/>
              </w:rPr>
              <w:t>“</w:t>
            </w:r>
            <w:r w:rsidRPr="00611795">
              <w:rPr>
                <w:rFonts w:ascii="Book Antiqua" w:hAnsi="Book Antiqua"/>
                <w:b/>
                <w:snapToGrid w:val="0"/>
                <w:sz w:val="24"/>
                <w:szCs w:val="24"/>
              </w:rPr>
              <w:t>PARERE SUL RICONOSCIMENTO E FINANZIAMENTO DI DEBITI FUORI BILANCIO</w:t>
            </w:r>
            <w:r w:rsidRPr="00611795">
              <w:rPr>
                <w:rFonts w:ascii="Book Antiqua" w:hAnsi="Book Antiqua"/>
                <w:b/>
                <w:snapToGrid w:val="0"/>
                <w:sz w:val="22"/>
                <w:szCs w:val="22"/>
              </w:rPr>
              <w:t xml:space="preserve">” </w:t>
            </w:r>
          </w:p>
          <w:p w14:paraId="6C182B2A" w14:textId="77777777" w:rsidR="000547F8" w:rsidRPr="00611795" w:rsidRDefault="000547F8" w:rsidP="00D86716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2"/>
                <w:szCs w:val="22"/>
              </w:rPr>
            </w:pPr>
          </w:p>
        </w:tc>
      </w:tr>
      <w:tr w:rsidR="000547F8" w:rsidRPr="00306E6B" w14:paraId="383C2472" w14:textId="77777777" w:rsidTr="00D86716">
        <w:trPr>
          <w:cantSplit/>
          <w:trHeight w:val="95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1604D058" w14:textId="77777777" w:rsidR="000547F8" w:rsidRPr="00611795" w:rsidRDefault="000547F8" w:rsidP="000547F8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2"/>
                <w:szCs w:val="22"/>
              </w:rPr>
            </w:pPr>
          </w:p>
          <w:p w14:paraId="51B97DEF" w14:textId="54498BD1" w:rsidR="000547F8" w:rsidRPr="00611795" w:rsidRDefault="000547F8" w:rsidP="000547F8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2"/>
                <w:szCs w:val="22"/>
              </w:rPr>
            </w:pPr>
            <w:r w:rsidRPr="00611795">
              <w:rPr>
                <w:rFonts w:ascii="Book Antiqua" w:hAnsi="Book Antiqua"/>
                <w:b/>
                <w:snapToGrid w:val="0"/>
                <w:sz w:val="22"/>
                <w:szCs w:val="22"/>
              </w:rPr>
              <w:t>Punto 2.3 PVC n. 2</w:t>
            </w:r>
          </w:p>
          <w:p w14:paraId="54211BFB" w14:textId="77777777" w:rsidR="000547F8" w:rsidRPr="00611795" w:rsidRDefault="000547F8" w:rsidP="000547F8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2"/>
                <w:szCs w:val="22"/>
              </w:rPr>
            </w:pPr>
          </w:p>
          <w:p w14:paraId="153B4414" w14:textId="37177153" w:rsidR="000547F8" w:rsidRPr="00611795" w:rsidRDefault="000547F8" w:rsidP="000547F8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18"/>
                <w:szCs w:val="18"/>
              </w:rPr>
            </w:pPr>
            <w:r w:rsidRPr="00611795">
              <w:rPr>
                <w:rFonts w:ascii="Book Antiqua" w:hAnsi="Book Antiqua"/>
                <w:b/>
                <w:snapToGrid w:val="0"/>
                <w:sz w:val="18"/>
                <w:szCs w:val="18"/>
              </w:rPr>
              <w:t>art.</w:t>
            </w:r>
            <w:r w:rsidR="00A73F2D">
              <w:rPr>
                <w:rFonts w:ascii="Book Antiqua" w:hAnsi="Book Antiqua"/>
                <w:b/>
                <w:snapToGrid w:val="0"/>
                <w:sz w:val="18"/>
                <w:szCs w:val="18"/>
              </w:rPr>
              <w:t xml:space="preserve"> </w:t>
            </w:r>
            <w:r w:rsidRPr="00611795">
              <w:rPr>
                <w:rFonts w:ascii="Book Antiqua" w:hAnsi="Book Antiqua"/>
                <w:b/>
                <w:snapToGrid w:val="0"/>
                <w:sz w:val="18"/>
                <w:szCs w:val="18"/>
              </w:rPr>
              <w:t>239, c</w:t>
            </w:r>
            <w:r w:rsidR="006518F3">
              <w:rPr>
                <w:rFonts w:ascii="Book Antiqua" w:hAnsi="Book Antiqua"/>
                <w:b/>
                <w:snapToGrid w:val="0"/>
                <w:sz w:val="18"/>
                <w:szCs w:val="18"/>
              </w:rPr>
              <w:t>o</w:t>
            </w:r>
            <w:r w:rsidRPr="00611795">
              <w:rPr>
                <w:rFonts w:ascii="Book Antiqua" w:hAnsi="Book Antiqua"/>
                <w:b/>
                <w:snapToGrid w:val="0"/>
                <w:sz w:val="18"/>
                <w:szCs w:val="18"/>
              </w:rPr>
              <w:t xml:space="preserve">mma 1, lett. b, n.6 e n.194 del Tuel </w:t>
            </w:r>
          </w:p>
          <w:p w14:paraId="1DAF6937" w14:textId="77777777" w:rsidR="000547F8" w:rsidRPr="00611795" w:rsidRDefault="000547F8" w:rsidP="00D86716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2"/>
                <w:szCs w:val="22"/>
              </w:rPr>
            </w:pPr>
          </w:p>
          <w:p w14:paraId="6D64346D" w14:textId="77777777" w:rsidR="000547F8" w:rsidRPr="00611795" w:rsidRDefault="000547F8" w:rsidP="000547F8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2"/>
                <w:szCs w:val="22"/>
              </w:rPr>
            </w:pPr>
          </w:p>
        </w:tc>
      </w:tr>
      <w:tr w:rsidR="00E859AD" w:rsidRPr="003272B0" w14:paraId="0188C96D" w14:textId="77777777" w:rsidTr="00666A55">
        <w:trPr>
          <w:cantSplit/>
          <w:trHeight w:val="284"/>
        </w:trPr>
        <w:tc>
          <w:tcPr>
            <w:tcW w:w="1034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871D3F2" w14:textId="4AEBF78A" w:rsidR="00E859AD" w:rsidRPr="008F5865" w:rsidRDefault="00E859AD" w:rsidP="00E859AD">
            <w:pPr>
              <w:rPr>
                <w:rFonts w:ascii="Book Antiqua" w:hAnsi="Book Antiqua"/>
                <w:b/>
              </w:rPr>
            </w:pPr>
            <w:r w:rsidRPr="008F5865">
              <w:rPr>
                <w:rFonts w:ascii="Book Antiqua" w:hAnsi="Book Antiqua"/>
                <w:b/>
              </w:rPr>
              <w:t>Ente…………………………..</w:t>
            </w:r>
            <w:r w:rsidR="006518F3">
              <w:rPr>
                <w:rFonts w:ascii="Book Antiqua" w:hAnsi="Book Antiqua"/>
                <w:b/>
              </w:rPr>
              <w:t xml:space="preserve">                                                                                           </w:t>
            </w:r>
          </w:p>
          <w:p w14:paraId="41DCDD41" w14:textId="76638765" w:rsidR="00E859AD" w:rsidRDefault="00E859AD" w:rsidP="00E859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>Preparato da …………………………….                                                                         Data…………………………..</w:t>
            </w:r>
          </w:p>
          <w:p w14:paraId="3518714E" w14:textId="77777777" w:rsidR="00E859AD" w:rsidRDefault="00E859AD" w:rsidP="00E859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>Preparato da …………………………….                                                                         Data…………………………..</w:t>
            </w:r>
          </w:p>
          <w:p w14:paraId="05BF929C" w14:textId="77777777" w:rsidR="00E859AD" w:rsidRDefault="00E859AD" w:rsidP="00E859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>Preparato da …………………………….                                                                         Data…………………………..</w:t>
            </w:r>
          </w:p>
          <w:p w14:paraId="2FAFACE6" w14:textId="216812E9" w:rsidR="00E859AD" w:rsidRDefault="00E859AD" w:rsidP="00E859A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</w:tr>
      <w:tr w:rsidR="00AC732C" w:rsidRPr="003272B0" w14:paraId="675BD159" w14:textId="77777777" w:rsidTr="00EA5C69">
        <w:trPr>
          <w:cantSplit/>
          <w:trHeight w:val="284"/>
        </w:trPr>
        <w:tc>
          <w:tcPr>
            <w:tcW w:w="52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64F0426" w14:textId="77777777" w:rsidR="00A17C3E" w:rsidRDefault="00A17C3E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505F24BC" w14:textId="77777777" w:rsidR="00227EFB" w:rsidRDefault="00E56E02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DESCRIZIONE</w:t>
            </w:r>
          </w:p>
          <w:p w14:paraId="6D110EBF" w14:textId="77777777" w:rsidR="00DF146E" w:rsidRPr="00E56E02" w:rsidRDefault="00DF146E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(da eseguire prima del rilascio del parere sul rendiconto)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26F960B" w14:textId="77777777" w:rsidR="00EA5C69" w:rsidRDefault="00EA5C69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4DDC0A1F" w14:textId="77777777" w:rsidR="00227EFB" w:rsidRPr="00E56E02" w:rsidRDefault="00AC732C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 w:rsidR="00A17C3E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D7D3735" w14:textId="77777777" w:rsidR="00EA5C69" w:rsidRDefault="00EA5C69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17BBADF8" w14:textId="77777777" w:rsidR="00227EFB" w:rsidRPr="00E56E02" w:rsidRDefault="00AC732C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 w:rsidR="00A17C3E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60DC209" w14:textId="77777777" w:rsidR="00227EFB" w:rsidRDefault="00AC732C" w:rsidP="00EA5C69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N/A</w:t>
            </w:r>
          </w:p>
          <w:p w14:paraId="28D99CED" w14:textId="628C4366" w:rsidR="00E859AD" w:rsidRPr="00E56E02" w:rsidRDefault="00A17C3E" w:rsidP="00E859A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N/R</w:t>
            </w:r>
            <w:r w:rsidR="0026789B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*</w:t>
            </w:r>
          </w:p>
          <w:p w14:paraId="3F65F8C7" w14:textId="77A41437" w:rsidR="00404733" w:rsidRPr="00E56E02" w:rsidRDefault="00404733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05CB7A" w14:textId="6535B6C1" w:rsidR="00227EFB" w:rsidRPr="00E56E02" w:rsidRDefault="00A17C3E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Descrizione delle procedure svolte e delle evidenze prodotte - Commenti</w:t>
            </w:r>
          </w:p>
        </w:tc>
      </w:tr>
      <w:tr w:rsidR="004B2463" w:rsidRPr="001818C5" w14:paraId="1EEFF4A9" w14:textId="77777777" w:rsidTr="00EA5C69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EDB" w14:textId="77777777" w:rsidR="004B2463" w:rsidRPr="004B2463" w:rsidRDefault="004B2463" w:rsidP="0011547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 xml:space="preserve"> Acquisizione della proposta di delibera del Consiglio Comunale con documentazione correlata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C15423" w14:textId="77777777" w:rsidR="004B2463" w:rsidRPr="001818C5" w:rsidRDefault="004B2463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8E9D" w14:textId="77777777" w:rsidR="004B2463" w:rsidRPr="001818C5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1D51" w14:textId="77777777" w:rsidR="004B2463" w:rsidRPr="001818C5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5EB4" w14:textId="77777777" w:rsidR="004B2463" w:rsidRPr="001818C5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B2463" w:rsidRPr="003B08CF" w14:paraId="57778596" w14:textId="77777777" w:rsidTr="004B2463">
        <w:trPr>
          <w:trHeight w:val="49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89C5FE" w14:textId="77777777" w:rsidR="004B2463" w:rsidRPr="004B2463" w:rsidRDefault="004B2463" w:rsidP="0011547F">
            <w:pPr>
              <w:widowControl w:val="0"/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>Acquisizione dei pareri tecnico e contabile dei dirigenti/responsabili preposti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D8FDF" w14:textId="77777777" w:rsidR="004B2463" w:rsidRPr="003B08CF" w:rsidRDefault="004B2463" w:rsidP="006C645B">
            <w:pPr>
              <w:widowControl w:val="0"/>
              <w:rPr>
                <w:rFonts w:ascii="Arial" w:hAnsi="Arial"/>
                <w:strike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051562" w14:textId="77777777" w:rsidR="004B2463" w:rsidRPr="003B08CF" w:rsidRDefault="004B2463" w:rsidP="006C645B">
            <w:pPr>
              <w:widowControl w:val="0"/>
              <w:jc w:val="center"/>
              <w:rPr>
                <w:rFonts w:ascii="Arial" w:hAnsi="Arial"/>
                <w:strike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12335C" w14:textId="77777777" w:rsidR="004B2463" w:rsidRPr="003B08CF" w:rsidRDefault="004B2463" w:rsidP="006C645B">
            <w:pPr>
              <w:widowControl w:val="0"/>
              <w:jc w:val="center"/>
              <w:rPr>
                <w:rFonts w:ascii="Arial" w:hAnsi="Arial"/>
                <w:strike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491355" w14:textId="77777777" w:rsidR="004B2463" w:rsidRPr="003B08CF" w:rsidRDefault="004B2463" w:rsidP="006C645B">
            <w:pPr>
              <w:widowControl w:val="0"/>
              <w:jc w:val="center"/>
              <w:rPr>
                <w:rFonts w:ascii="Arial" w:hAnsi="Arial"/>
                <w:strike/>
                <w:snapToGrid w:val="0"/>
              </w:rPr>
            </w:pPr>
          </w:p>
        </w:tc>
      </w:tr>
      <w:tr w:rsidR="004B2463" w14:paraId="684B6FFE" w14:textId="77777777" w:rsidTr="00E859AD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C9FF0" w14:textId="77777777" w:rsidR="004B2463" w:rsidRPr="004B2463" w:rsidRDefault="004B2463" w:rsidP="0011547F">
            <w:pPr>
              <w:widowControl w:val="0"/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>Il debito fuori bilancio rientra in una delle seguenti tipologie e quale?</w:t>
            </w:r>
          </w:p>
          <w:p w14:paraId="59A088DC" w14:textId="77777777" w:rsidR="004B2463" w:rsidRDefault="004B2463" w:rsidP="004B2463">
            <w:pPr>
              <w:pStyle w:val="Default"/>
              <w:numPr>
                <w:ilvl w:val="0"/>
                <w:numId w:val="33"/>
              </w:numPr>
              <w:spacing w:after="16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sentenze esecutive comprese quelle immediatamente esecutive; </w:t>
            </w:r>
          </w:p>
          <w:p w14:paraId="7EAF557B" w14:textId="77777777" w:rsidR="004B2463" w:rsidRDefault="004B2463" w:rsidP="0011547F">
            <w:pPr>
              <w:pStyle w:val="Default"/>
              <w:numPr>
                <w:ilvl w:val="0"/>
                <w:numId w:val="33"/>
              </w:numPr>
              <w:spacing w:after="16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copertura di disavanzi di consorzi, di aziende speciali e di istituzioni, nei limiti degli obblighi derivanti da statuto, convenzione o atti costitutivi, purché sia stato rispettato l’obbligo di pareggio del bilancio di cui all’art. 114 ed il disavanzo derivi da fatti di gestione; </w:t>
            </w:r>
          </w:p>
          <w:p w14:paraId="276F4FAA" w14:textId="77777777" w:rsidR="004B2463" w:rsidRDefault="004B2463" w:rsidP="0011547F">
            <w:pPr>
              <w:pStyle w:val="Default"/>
              <w:numPr>
                <w:ilvl w:val="0"/>
                <w:numId w:val="33"/>
              </w:numPr>
              <w:spacing w:after="16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ricapitalizzazione, nei limiti e nelle forme previste dal codice civile (art. 2447 c.c.) o da norme speciali di società di capitali costituite per l’esercizio di servizi pubblici locali; </w:t>
            </w:r>
          </w:p>
          <w:p w14:paraId="744FE986" w14:textId="77777777" w:rsidR="004B2463" w:rsidRDefault="004B2463" w:rsidP="0011547F">
            <w:pPr>
              <w:pStyle w:val="Default"/>
              <w:numPr>
                <w:ilvl w:val="0"/>
                <w:numId w:val="33"/>
              </w:numPr>
              <w:spacing w:after="16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procedure espropriative o di occupazione d’urgenza per opere di pubblica utilità; </w:t>
            </w:r>
          </w:p>
          <w:p w14:paraId="38BE9F6F" w14:textId="77777777" w:rsidR="004B2463" w:rsidRPr="004B2463" w:rsidRDefault="004B2463" w:rsidP="004B2463">
            <w:pPr>
              <w:pStyle w:val="Default"/>
              <w:numPr>
                <w:ilvl w:val="0"/>
                <w:numId w:val="33"/>
              </w:numPr>
              <w:spacing w:after="16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acquisizione di beni e servizi, in violazione degli obblighi di cui ai commi 1, 2 e 3 dell’art. 191 del Tuel, nei limiti degli accertati e dimostrati utilità ed arricchimento per l’ente, nell’ambito dell’espletamento di pubbliche funzioni e servizi di competenza.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73294" w14:textId="77777777" w:rsidR="004B2463" w:rsidRDefault="004B2463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C15A8" w14:textId="77777777" w:rsidR="004B2463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7A939" w14:textId="77777777" w:rsidR="004B2463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3A55A" w14:textId="77777777" w:rsidR="004B2463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B2463" w:rsidRPr="00EF2114" w14:paraId="31EE34B3" w14:textId="77777777" w:rsidTr="00E859AD">
        <w:trPr>
          <w:trHeight w:val="50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145EAE" w14:textId="30AA3CE0" w:rsidR="004B2463" w:rsidRPr="004B2463" w:rsidRDefault="002E1827" w:rsidP="0011547F">
            <w:pPr>
              <w:widowControl w:val="0"/>
              <w:jc w:val="both"/>
              <w:rPr>
                <w:sz w:val="22"/>
                <w:szCs w:val="22"/>
              </w:rPr>
            </w:pPr>
            <w:r>
              <w:br w:type="page"/>
            </w:r>
            <w:r w:rsidR="004B2463">
              <w:rPr>
                <w:sz w:val="22"/>
                <w:szCs w:val="22"/>
              </w:rPr>
              <w:t>Nel caso di sentenze esecutive e di pignoramenti l’ente ha proceduto con tempestività̀ alla convocazione del Consiglio comunale per il riconoscimento del debito, in modo da impedire il maturare di</w:t>
            </w:r>
            <w:r w:rsidR="004B2463" w:rsidRPr="00E859AD">
              <w:rPr>
                <w:sz w:val="22"/>
                <w:szCs w:val="22"/>
              </w:rPr>
              <w:t xml:space="preserve"> interessi, rivalutazione monetaria ed ulteriori spese legali</w:t>
            </w:r>
            <w:r w:rsidR="004B2463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811944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340A8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C47015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0CA3A1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  <w:tr w:rsidR="004B2463" w:rsidRPr="00EF2114" w14:paraId="2A0EE791" w14:textId="77777777" w:rsidTr="00E859AD">
        <w:trPr>
          <w:trHeight w:val="598"/>
        </w:trPr>
        <w:tc>
          <w:tcPr>
            <w:tcW w:w="52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688F5F" w14:textId="77777777" w:rsidR="004B2463" w:rsidRPr="004B2463" w:rsidRDefault="004B2463" w:rsidP="0011547F">
            <w:pPr>
              <w:widowControl w:val="0"/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lastRenderedPageBreak/>
              <w:t>Il debito fuori bilancio ha il carattere della</w:t>
            </w:r>
          </w:p>
          <w:p w14:paraId="3850E8E8" w14:textId="77777777" w:rsidR="004B2463" w:rsidRPr="004B2463" w:rsidRDefault="004B2463" w:rsidP="004B2463">
            <w:pPr>
              <w:pStyle w:val="Paragrafoelenco"/>
              <w:widowControl w:val="0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>certezza, cioè effettiva esistenza dell’obbligazione di dare?</w:t>
            </w:r>
          </w:p>
          <w:p w14:paraId="1303EB5E" w14:textId="77777777" w:rsidR="004B2463" w:rsidRDefault="004B2463" w:rsidP="004B2463">
            <w:pPr>
              <w:pStyle w:val="Paragrafoelenco"/>
              <w:widowControl w:val="0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>liquidità, nel senso che deve essere individuato il soggetto economico creditore, il debito sia definito nel suo ammontare e l’importo sia determinato o determinabile mediante una semplice operazione di calcolo aritmetico</w:t>
            </w:r>
          </w:p>
          <w:p w14:paraId="18693BE2" w14:textId="77777777" w:rsidR="004B2463" w:rsidRPr="004B2463" w:rsidRDefault="004B2463" w:rsidP="004B2463">
            <w:pPr>
              <w:pStyle w:val="Paragrafoelenco"/>
              <w:widowControl w:val="0"/>
              <w:ind w:left="770"/>
              <w:jc w:val="both"/>
              <w:rPr>
                <w:sz w:val="22"/>
                <w:szCs w:val="22"/>
              </w:rPr>
            </w:pPr>
          </w:p>
          <w:p w14:paraId="182B1290" w14:textId="77777777" w:rsidR="004B2463" w:rsidRPr="004B2463" w:rsidRDefault="004B2463" w:rsidP="002E1827">
            <w:pPr>
              <w:pStyle w:val="Paragrafoelenco"/>
              <w:widowControl w:val="0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>esigibilità, nel senso che il pagamento non sia dilazionato da termine o subordinato a condizione?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73E066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3748AD6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FF0F27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BF53C16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  <w:tr w:rsidR="004B2463" w:rsidRPr="00EF2114" w14:paraId="5B9A4AC6" w14:textId="77777777" w:rsidTr="00E53BC5">
        <w:trPr>
          <w:trHeight w:val="5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67BC5" w14:textId="66F0B239" w:rsidR="004B2463" w:rsidRPr="004B2463" w:rsidRDefault="004B2463" w:rsidP="0011547F">
            <w:pPr>
              <w:widowControl w:val="0"/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>La proposta di riconoscimento di debito fuori bilancio presuppone il contestuale finanziamento?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570317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1E70FB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12F1E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954E2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  <w:tr w:rsidR="004B2463" w:rsidRPr="00EF2114" w14:paraId="193E9446" w14:textId="77777777" w:rsidTr="00E53BC5">
        <w:trPr>
          <w:trHeight w:val="598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3384B1" w14:textId="77777777" w:rsidR="004B2463" w:rsidRPr="004B2463" w:rsidRDefault="004B2463" w:rsidP="006C0ED1">
            <w:pPr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>Il debito fuori bilancio trova copertura finanziaria, consentendo il mantenimento degli equilibri di bilancio?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65051" w14:textId="77777777" w:rsidR="004B2463" w:rsidRPr="00EF2114" w:rsidRDefault="004B2463" w:rsidP="006C0ED1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F42158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018B8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B105F6" w14:textId="77777777" w:rsidR="004B2463" w:rsidRPr="00EF2114" w:rsidRDefault="004B2463" w:rsidP="00EF2114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  <w:tr w:rsidR="004B2463" w:rsidRPr="00FC4811" w14:paraId="0150388D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F61C" w14:textId="77777777" w:rsidR="004B2463" w:rsidRPr="004B2463" w:rsidRDefault="004B2463" w:rsidP="0011547F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Per ripianare i debiti fuori bilancio di parte corrente non vengono utilizzare le entrate e le disponibilità: </w:t>
            </w:r>
          </w:p>
          <w:p w14:paraId="555037E2" w14:textId="77777777" w:rsidR="004B2463" w:rsidRPr="004B2463" w:rsidRDefault="004B2463" w:rsidP="0011547F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</w:p>
          <w:p w14:paraId="017CBD49" w14:textId="77777777" w:rsidR="004B2463" w:rsidRPr="004B2463" w:rsidRDefault="004B2463" w:rsidP="004B2463">
            <w:pPr>
              <w:pStyle w:val="Default"/>
              <w:numPr>
                <w:ilvl w:val="0"/>
                <w:numId w:val="30"/>
              </w:numPr>
              <w:spacing w:after="21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provenienti dall’assunzione di prestiti già contratti; </w:t>
            </w:r>
          </w:p>
          <w:p w14:paraId="29764761" w14:textId="77777777" w:rsidR="004B2463" w:rsidRPr="004B2463" w:rsidRDefault="004B2463" w:rsidP="004B2463">
            <w:pPr>
              <w:pStyle w:val="Default"/>
              <w:numPr>
                <w:ilvl w:val="0"/>
                <w:numId w:val="30"/>
              </w:numPr>
              <w:spacing w:after="21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aventi specifica destinazione per legge; </w:t>
            </w:r>
          </w:p>
          <w:p w14:paraId="399D0E03" w14:textId="77777777" w:rsidR="004B2463" w:rsidRPr="004B2463" w:rsidRDefault="004B2463" w:rsidP="004B2463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derivanti da alienazioni di beni patrimoniali disponibili e da altre entrate in c/capitale con riferimento a squilibri di parte capitale. </w:t>
            </w:r>
          </w:p>
          <w:p w14:paraId="592F49CA" w14:textId="77777777" w:rsidR="004B2463" w:rsidRPr="004B2463" w:rsidRDefault="004B2463" w:rsidP="0011547F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B17D" w14:textId="77777777" w:rsidR="004B2463" w:rsidRPr="00FC4811" w:rsidRDefault="004B2463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B97D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C947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6C9B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B2463" w:rsidRPr="00FC4811" w14:paraId="460A2E5C" w14:textId="77777777" w:rsidTr="004B2463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3337" w14:textId="77777777" w:rsidR="004B2463" w:rsidRDefault="004B2463" w:rsidP="0011547F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Tra le risorse effettivamente disponibili per far fronte al finanziamento del debito l’ente propone: </w:t>
            </w:r>
          </w:p>
          <w:p w14:paraId="0637B574" w14:textId="77777777" w:rsidR="004B2463" w:rsidRPr="004B2463" w:rsidRDefault="004B2463" w:rsidP="0011547F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</w:p>
          <w:p w14:paraId="2238D485" w14:textId="77777777" w:rsidR="004B2463" w:rsidRPr="004B2463" w:rsidRDefault="004B2463" w:rsidP="004B2463">
            <w:pPr>
              <w:pStyle w:val="Default"/>
              <w:numPr>
                <w:ilvl w:val="0"/>
                <w:numId w:val="31"/>
              </w:numPr>
              <w:spacing w:after="21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la riduzione delle spese correnti, o utilizzo di nuove entrate; </w:t>
            </w:r>
          </w:p>
          <w:p w14:paraId="793DC0B0" w14:textId="77777777" w:rsidR="004B2463" w:rsidRPr="004B2463" w:rsidRDefault="004B2463" w:rsidP="004B2463">
            <w:pPr>
              <w:pStyle w:val="Default"/>
              <w:numPr>
                <w:ilvl w:val="0"/>
                <w:numId w:val="31"/>
              </w:numPr>
              <w:spacing w:after="21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l’applicazione dell’eventuale avanzo di amministrazione disponibile ai sensi di legge; </w:t>
            </w:r>
          </w:p>
          <w:p w14:paraId="51161FFD" w14:textId="77777777" w:rsidR="004B2463" w:rsidRPr="004B2463" w:rsidRDefault="004B2463" w:rsidP="004B2463">
            <w:pPr>
              <w:pStyle w:val="Default"/>
              <w:numPr>
                <w:ilvl w:val="0"/>
                <w:numId w:val="31"/>
              </w:numPr>
              <w:spacing w:after="21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l’utilizzo di disponibilità derivanti da adozione di piano triennale di riequilibrio; </w:t>
            </w:r>
          </w:p>
          <w:p w14:paraId="58D61715" w14:textId="77777777" w:rsidR="004B2463" w:rsidRPr="004B2463" w:rsidRDefault="004B2463" w:rsidP="002E1827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la vendita dei beni del patrimonio disponibile, altre entrate in conto capitale e contrazione di prestiti, con riferimento a debiti fuori bilancio in conto capitale.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0693B" w14:textId="77777777" w:rsidR="004B2463" w:rsidRPr="00FC4811" w:rsidRDefault="004B2463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11C5CA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DDA98E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BE77E4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B2463" w:rsidRPr="00FC4811" w14:paraId="70B61CF4" w14:textId="77777777" w:rsidTr="004B2463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52AC" w14:textId="77777777" w:rsidR="004B2463" w:rsidRPr="004B2463" w:rsidRDefault="004B2463" w:rsidP="0011547F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La funzione della delibera consiliare di riconoscimento e finanziamento è diretta a: </w:t>
            </w:r>
          </w:p>
          <w:p w14:paraId="3AED3C65" w14:textId="77777777" w:rsidR="004B2463" w:rsidRDefault="004B2463" w:rsidP="0011547F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accertare se il debito è imputabile all’ente; </w:t>
            </w:r>
          </w:p>
          <w:p w14:paraId="3A32B31A" w14:textId="77777777" w:rsidR="004B2463" w:rsidRDefault="004B2463" w:rsidP="004B2463">
            <w:pPr>
              <w:pStyle w:val="Default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</w:p>
          <w:p w14:paraId="460DC011" w14:textId="77777777" w:rsidR="004B2463" w:rsidRPr="004B2463" w:rsidRDefault="004B2463" w:rsidP="0011547F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>accertare se rientra in una delle cinque tipologie riconoscibili;</w:t>
            </w:r>
          </w:p>
          <w:p w14:paraId="188E1AEE" w14:textId="77777777" w:rsidR="004B2463" w:rsidRDefault="004B2463" w:rsidP="004B2463">
            <w:pPr>
              <w:pStyle w:val="Default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</w:p>
          <w:p w14:paraId="1EABCC44" w14:textId="77777777" w:rsidR="004B2463" w:rsidRPr="004B2463" w:rsidRDefault="004B2463" w:rsidP="0011547F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>limitare il riconoscimento per la tipologia della lett. e) (acquisizione di beni e servizi in violazione degli obblighi di cui ai commi 1, 2 e 3 dell’art. 191 del Tuel) nei limiti dell’utilità ed arricchimento dell’ente;</w:t>
            </w:r>
          </w:p>
          <w:p w14:paraId="3FC82232" w14:textId="77777777" w:rsidR="004B2463" w:rsidRDefault="004B2463" w:rsidP="004B2463">
            <w:pPr>
              <w:pStyle w:val="Default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 </w:t>
            </w:r>
          </w:p>
          <w:p w14:paraId="7BD4BBAA" w14:textId="77777777" w:rsidR="004B2463" w:rsidRPr="004B2463" w:rsidRDefault="004B2463" w:rsidP="0011547F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lastRenderedPageBreak/>
              <w:t xml:space="preserve">reperire il finanziamento; </w:t>
            </w:r>
          </w:p>
          <w:p w14:paraId="2B30715B" w14:textId="77777777" w:rsidR="004B2463" w:rsidRDefault="004B2463" w:rsidP="004B2463">
            <w:pPr>
              <w:pStyle w:val="Default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</w:pPr>
          </w:p>
          <w:p w14:paraId="7C7968A0" w14:textId="77777777" w:rsidR="004B2463" w:rsidRPr="004B2463" w:rsidRDefault="004B2463" w:rsidP="004B2463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246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it-IT"/>
              </w:rPr>
              <w:t xml:space="preserve">accertare le eventuali responsabilità.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AFC7A5" w14:textId="77777777" w:rsidR="004B2463" w:rsidRPr="00FC4811" w:rsidRDefault="004B2463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8AF927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8542CE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60B96B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E1164" w:rsidRPr="00FC4811" w14:paraId="2219C3D5" w14:textId="77777777" w:rsidTr="005E1164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9BD" w14:textId="77777777" w:rsidR="005E1164" w:rsidRPr="004B2463" w:rsidRDefault="005E1164" w:rsidP="005E116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L’Organo di revisione rispetto alle tematiche del punto precedente, nel proprio parere deve esprimere un giudizio di congruità, di coerenza e di attendibilità contabile obbligatorio secondo l’art. 239 comma 1, lett. b) n. 6) e comma 1 </w:t>
            </w:r>
            <w:r>
              <w:rPr>
                <w:i/>
                <w:iCs/>
                <w:sz w:val="22"/>
                <w:szCs w:val="22"/>
              </w:rPr>
              <w:t xml:space="preserve">bis </w:t>
            </w:r>
            <w:r>
              <w:rPr>
                <w:sz w:val="22"/>
                <w:szCs w:val="22"/>
              </w:rPr>
              <w:t>del Tuel.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597D1F" w14:textId="77777777" w:rsidR="005E1164" w:rsidRPr="00FC4811" w:rsidRDefault="005E1164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1D059" w14:textId="77777777" w:rsidR="005E1164" w:rsidRPr="00FC4811" w:rsidRDefault="005E1164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42C81E" w14:textId="77777777" w:rsidR="005E1164" w:rsidRPr="00FC4811" w:rsidRDefault="005E1164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03DBF3" w14:textId="77777777" w:rsidR="005E1164" w:rsidRPr="00FC4811" w:rsidRDefault="005E1164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B2463" w:rsidRPr="00FC4811" w14:paraId="7DF0C689" w14:textId="77777777" w:rsidTr="004B2463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91F4" w14:textId="77777777" w:rsidR="004B2463" w:rsidRPr="004B2463" w:rsidRDefault="004B2463" w:rsidP="004B2463">
            <w:pPr>
              <w:widowControl w:val="0"/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 xml:space="preserve">L’organo di controllo ha verificato che non vi siano </w:t>
            </w:r>
            <w:r w:rsidR="005E1164">
              <w:rPr>
                <w:sz w:val="22"/>
                <w:szCs w:val="22"/>
              </w:rPr>
              <w:t xml:space="preserve">state </w:t>
            </w:r>
            <w:r w:rsidRPr="004B2463">
              <w:rPr>
                <w:sz w:val="22"/>
                <w:szCs w:val="22"/>
              </w:rPr>
              <w:t>condotte illegittime che abbiano prodotto un danno erariale in violazione dei principi di economicità, efficacia ed efficienza dell’azione amministrativa?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3E13BB" w14:textId="77777777" w:rsidR="004B2463" w:rsidRPr="00FC4811" w:rsidRDefault="004B2463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87E1D2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EF1CEA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351EF0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B2463" w:rsidRPr="00FC4811" w14:paraId="22321BB0" w14:textId="77777777" w:rsidTr="004B2463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8FD5E72" w14:textId="77777777" w:rsidR="004B2463" w:rsidRDefault="004B2463" w:rsidP="00104E8C">
            <w:pPr>
              <w:widowControl w:val="0"/>
              <w:jc w:val="center"/>
              <w:rPr>
                <w:rFonts w:ascii="Book Antiqua" w:hAnsi="Book Antiqua"/>
                <w:b/>
                <w:i/>
                <w:snapToGrid w:val="0"/>
                <w:sz w:val="22"/>
                <w:szCs w:val="22"/>
              </w:rPr>
            </w:pPr>
          </w:p>
          <w:p w14:paraId="4B1D0BD0" w14:textId="77777777" w:rsidR="004B2463" w:rsidRDefault="004B2463" w:rsidP="00104E8C">
            <w:pPr>
              <w:widowControl w:val="0"/>
              <w:jc w:val="center"/>
              <w:rPr>
                <w:rFonts w:ascii="Book Antiqua" w:hAnsi="Book Antiqua"/>
                <w:b/>
                <w:i/>
                <w:snapToGrid w:val="0"/>
                <w:sz w:val="22"/>
                <w:szCs w:val="22"/>
              </w:rPr>
            </w:pPr>
            <w:r w:rsidRPr="004B2463">
              <w:rPr>
                <w:rFonts w:ascii="Book Antiqua" w:hAnsi="Book Antiqua"/>
                <w:b/>
                <w:i/>
                <w:snapToGrid w:val="0"/>
                <w:sz w:val="22"/>
                <w:szCs w:val="22"/>
              </w:rPr>
              <w:t>CONTROLLI SUCCESSIVI ALLA DELIBERAZIONE DI CONSIGLIO COMUNALE</w:t>
            </w:r>
            <w:r w:rsidR="00611795">
              <w:rPr>
                <w:rFonts w:ascii="Book Antiqua" w:hAnsi="Book Antiqua"/>
                <w:b/>
                <w:i/>
                <w:snapToGrid w:val="0"/>
                <w:sz w:val="22"/>
                <w:szCs w:val="22"/>
              </w:rPr>
              <w:t xml:space="preserve"> – INVIO QUESTIONARIO ALLA CORTE DEI CONTI</w:t>
            </w:r>
          </w:p>
          <w:p w14:paraId="345B0095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B2463" w:rsidRPr="00FC4811" w14:paraId="7D702FFA" w14:textId="77777777" w:rsidTr="004B2463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F451" w14:textId="3A1F2FDE" w:rsidR="004B2463" w:rsidRPr="004B2463" w:rsidRDefault="004B2463" w:rsidP="006C0ED1">
            <w:pPr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 xml:space="preserve">L’Ente ha provveduto alla trasmissione </w:t>
            </w:r>
            <w:r w:rsidR="00B70566">
              <w:rPr>
                <w:sz w:val="22"/>
                <w:szCs w:val="22"/>
              </w:rPr>
              <w:t xml:space="preserve">del provvedimento di riconoscimento e finanziamento dei debiti fuori bilancio </w:t>
            </w:r>
            <w:r w:rsidRPr="004B2463">
              <w:rPr>
                <w:sz w:val="22"/>
                <w:szCs w:val="22"/>
              </w:rPr>
              <w:t xml:space="preserve">alla competente Procura Regionale della Corte dei </w:t>
            </w:r>
            <w:r w:rsidR="00804A5B">
              <w:rPr>
                <w:sz w:val="22"/>
                <w:szCs w:val="22"/>
              </w:rPr>
              <w:t>c</w:t>
            </w:r>
            <w:r w:rsidRPr="004B2463">
              <w:rPr>
                <w:sz w:val="22"/>
                <w:szCs w:val="22"/>
              </w:rPr>
              <w:t>onti?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15CF45" w14:textId="77777777" w:rsidR="004B2463" w:rsidRPr="00FC4811" w:rsidRDefault="004B2463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BD700C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803800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F14852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B2463" w:rsidRPr="00FC4811" w14:paraId="49DB8841" w14:textId="77777777" w:rsidTr="004B2463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80E2" w14:textId="0A69D245" w:rsidR="004B2463" w:rsidRPr="004B2463" w:rsidRDefault="004B2463" w:rsidP="004B2463">
            <w:pPr>
              <w:widowControl w:val="0"/>
              <w:jc w:val="both"/>
              <w:rPr>
                <w:sz w:val="22"/>
                <w:szCs w:val="22"/>
              </w:rPr>
            </w:pPr>
            <w:r w:rsidRPr="004B2463">
              <w:rPr>
                <w:sz w:val="22"/>
                <w:szCs w:val="22"/>
              </w:rPr>
              <w:t xml:space="preserve">In caso di mancata trasmissione alla competente Procura Regionale della Corte dei </w:t>
            </w:r>
            <w:r w:rsidR="00804A5B">
              <w:rPr>
                <w:sz w:val="22"/>
                <w:szCs w:val="22"/>
              </w:rPr>
              <w:t>c</w:t>
            </w:r>
            <w:r w:rsidRPr="004B2463">
              <w:rPr>
                <w:sz w:val="22"/>
                <w:szCs w:val="22"/>
              </w:rPr>
              <w:t>onti, l’organo di controllo ha provveduto in sostituzione dell’Ente?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7640A2" w14:textId="77777777" w:rsidR="004B2463" w:rsidRPr="00FC4811" w:rsidRDefault="004B2463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9A5B39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AA616A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67F2D4" w14:textId="77777777" w:rsidR="004B2463" w:rsidRPr="00FC4811" w:rsidRDefault="004B2463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11795" w:rsidRPr="00FC4811" w14:paraId="06965467" w14:textId="77777777" w:rsidTr="004B2463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0C45" w14:textId="7544AEBE" w:rsidR="00611795" w:rsidRPr="004B2463" w:rsidRDefault="00611795" w:rsidP="004B246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L’Ente ha inviato il questionario annuale sui debiti fuori bilancio alla Corte dei </w:t>
            </w:r>
            <w:r w:rsidR="00804A5B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onti?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6E60B2" w14:textId="77777777" w:rsidR="00611795" w:rsidRPr="00FC4811" w:rsidRDefault="00611795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807E41" w14:textId="77777777" w:rsidR="00611795" w:rsidRPr="00FC4811" w:rsidRDefault="00611795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786B8B" w14:textId="77777777" w:rsidR="00611795" w:rsidRPr="00FC4811" w:rsidRDefault="00611795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C26480" w14:textId="77777777" w:rsidR="00611795" w:rsidRPr="00FC4811" w:rsidRDefault="00611795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503094FC" w14:textId="77777777" w:rsidR="00EA5C69" w:rsidRDefault="00EA5C69"/>
    <w:p w14:paraId="72D06FC5" w14:textId="77777777" w:rsidR="008230A8" w:rsidRDefault="008230A8"/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349"/>
      </w:tblGrid>
      <w:tr w:rsidR="00E859AD" w:rsidRPr="00F97FDB" w14:paraId="7C23EE93" w14:textId="77777777" w:rsidTr="00E859AD">
        <w:trPr>
          <w:cantSplit/>
          <w:trHeight w:val="29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958" w14:textId="77777777" w:rsidR="00E859AD" w:rsidRPr="00F97FDB" w:rsidRDefault="00E859AD" w:rsidP="00E859AD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LEGENDA:</w:t>
            </w:r>
          </w:p>
          <w:p w14:paraId="65A51465" w14:textId="77777777" w:rsidR="00E859AD" w:rsidRPr="00121841" w:rsidRDefault="00E859AD" w:rsidP="00E859AD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In caso di risposta negativa:</w:t>
            </w:r>
          </w:p>
          <w:p w14:paraId="090C6613" w14:textId="77777777" w:rsidR="00E859AD" w:rsidRDefault="00E859AD" w:rsidP="00E859AD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l’organo di revisione deve sviluppare un’adeguata azione di risposta a seconda della fattispecie (segnalazione, denuncia, verifiche ulteriori, ecc.)</w:t>
            </w:r>
          </w:p>
          <w:p w14:paraId="3BB49249" w14:textId="77777777" w:rsidR="00E859AD" w:rsidRDefault="00E859AD" w:rsidP="00E859AD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</w:p>
          <w:p w14:paraId="1A45B3D8" w14:textId="77777777" w:rsidR="00E859AD" w:rsidRPr="00B16AD9" w:rsidRDefault="00E859AD" w:rsidP="00E859AD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B16AD9">
              <w:rPr>
                <w:rFonts w:ascii="Book Antiqua" w:hAnsi="Book Antiqua"/>
                <w:b/>
                <w:snapToGrid w:val="0"/>
                <w:color w:val="FF0000"/>
              </w:rPr>
              <w:t>N/A – Fattispecie non applicabile</w:t>
            </w:r>
          </w:p>
          <w:p w14:paraId="7AC8E20F" w14:textId="77777777" w:rsidR="00E859AD" w:rsidRDefault="00E859AD" w:rsidP="00E859A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16AD9">
              <w:rPr>
                <w:rFonts w:ascii="Book Antiqua" w:hAnsi="Book Antiqua"/>
                <w:snapToGrid w:val="0"/>
              </w:rPr>
              <w:t>N/A: tale opzione indica che nel corso della specifica verifica il controllo proposto nella checklist non viene svolto in quanto non previsto nella pianificazione svolta dall’organo di revisione. I</w:t>
            </w:r>
            <w:r>
              <w:rPr>
                <w:rFonts w:ascii="Book Antiqua" w:hAnsi="Book Antiqua"/>
                <w:snapToGrid w:val="0"/>
              </w:rPr>
              <w:t>l</w:t>
            </w:r>
            <w:r w:rsidRPr="00B16AD9">
              <w:rPr>
                <w:rFonts w:ascii="Book Antiqua" w:hAnsi="Book Antiqua"/>
                <w:snapToGrid w:val="0"/>
              </w:rPr>
              <w:t xml:space="preserve"> controllo, ad esempio, potrebbe essere stato svolto nel corso di altra verifica o il rischio collegato essere stato valutato basso per cui l’organo di revisione ritiene di </w:t>
            </w:r>
            <w:r>
              <w:rPr>
                <w:rFonts w:ascii="Book Antiqua" w:hAnsi="Book Antiqua"/>
                <w:snapToGrid w:val="0"/>
              </w:rPr>
              <w:t xml:space="preserve">non </w:t>
            </w:r>
            <w:r w:rsidRPr="00B16AD9">
              <w:rPr>
                <w:rFonts w:ascii="Book Antiqua" w:hAnsi="Book Antiqua"/>
                <w:snapToGrid w:val="0"/>
              </w:rPr>
              <w:t>svolgere il controllo proposto nella specifica circostanza.</w:t>
            </w:r>
          </w:p>
          <w:p w14:paraId="0971B86A" w14:textId="77777777" w:rsidR="00E859AD" w:rsidRDefault="00E859AD" w:rsidP="00E859A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0A8DC750" w14:textId="079565DE" w:rsidR="00E859AD" w:rsidRPr="00F97FDB" w:rsidRDefault="00E859AD" w:rsidP="00E859AD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N/R – Non ricorre la fattispecie</w:t>
            </w:r>
          </w:p>
        </w:tc>
      </w:tr>
    </w:tbl>
    <w:p w14:paraId="52297714" w14:textId="77777777" w:rsidR="008230A8" w:rsidRDefault="008230A8"/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EA5C69" w:rsidRPr="00574869" w14:paraId="070D265D" w14:textId="77777777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CA2531" w14:textId="77777777" w:rsidR="00EA5C69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CONCLUSIONI PER L’AREA:</w:t>
            </w:r>
          </w:p>
          <w:p w14:paraId="350183FF" w14:textId="06A95EBC" w:rsidR="00EA5C69" w:rsidRPr="00ED383F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(considerazioni conclusive a valle della comprensione di c</w:t>
            </w:r>
            <w:r w:rsidR="00E859AD">
              <w:rPr>
                <w:rFonts w:ascii="Book Antiqua" w:hAnsi="Book Antiqua"/>
                <w:b/>
                <w:snapToGrid w:val="0"/>
              </w:rPr>
              <w:t>u</w:t>
            </w:r>
            <w:r>
              <w:rPr>
                <w:rFonts w:ascii="Book Antiqua" w:hAnsi="Book Antiqua"/>
                <w:b/>
                <w:snapToGrid w:val="0"/>
              </w:rPr>
              <w:t>i sopra)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319426" w14:textId="77777777"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A5C69" w:rsidRPr="00574869" w14:paraId="2767121A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565E0" w14:textId="77777777" w:rsidR="00EA5C69" w:rsidRPr="00ED383F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A1FCAA" w14:textId="77777777"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A5C69" w:rsidRPr="00574869" w14:paraId="0E2BB426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E2B2A" w14:textId="77777777" w:rsidR="00EA5C69" w:rsidRPr="00ED383F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3ABB2E" w14:textId="77777777"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3C3AC249" w14:textId="77777777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AC084" w14:textId="2AA41882" w:rsidR="00514CB5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RISPOSTA DI REVISIONE:</w:t>
            </w:r>
          </w:p>
          <w:p w14:paraId="5AA84FF5" w14:textId="77777777" w:rsidR="00514CB5" w:rsidRPr="00ED383F" w:rsidRDefault="00514CB5" w:rsidP="00514CB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(procedure di revisione aggiuntive da dettagliare in fase di esecuzione della strategia di dettaglio)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105934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26F75E35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C2C4F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7C989B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72A8E95B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5E04E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DB145C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24BD9D54" w14:textId="77777777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D4364" w14:textId="77777777" w:rsidR="00514CB5" w:rsidRPr="00ED383F" w:rsidRDefault="00514CB5" w:rsidP="00514CB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RISCHI SULL’AREA: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DF2C91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041A94A3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973AA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E6F38F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53FE455C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4E2F9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440EF3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5CB7C664" w14:textId="77777777" w:rsidR="008230A8" w:rsidRDefault="008230A8" w:rsidP="00514CB5">
      <w:pPr>
        <w:spacing w:before="100" w:beforeAutospacing="1" w:after="100" w:afterAutospacing="1" w:line="360" w:lineRule="auto"/>
        <w:jc w:val="center"/>
        <w:rPr>
          <w:rFonts w:eastAsia="MS Mincho"/>
          <w:sz w:val="22"/>
        </w:rPr>
      </w:pPr>
    </w:p>
    <w:sectPr w:rsidR="008230A8" w:rsidSect="00DF1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312AC" w14:textId="77777777" w:rsidR="005C6B78" w:rsidRDefault="005C6B78" w:rsidP="00804A5B">
      <w:r>
        <w:separator/>
      </w:r>
    </w:p>
  </w:endnote>
  <w:endnote w:type="continuationSeparator" w:id="0">
    <w:p w14:paraId="622B7863" w14:textId="77777777" w:rsidR="005C6B78" w:rsidRDefault="005C6B78" w:rsidP="0080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5A449" w14:textId="77777777" w:rsidR="00804A5B" w:rsidRDefault="00804A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44B8" w14:textId="77777777" w:rsidR="00804A5B" w:rsidRDefault="00804A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38ECC" w14:textId="77777777" w:rsidR="00804A5B" w:rsidRDefault="00804A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F55E6" w14:textId="77777777" w:rsidR="005C6B78" w:rsidRDefault="005C6B78" w:rsidP="00804A5B">
      <w:r>
        <w:separator/>
      </w:r>
    </w:p>
  </w:footnote>
  <w:footnote w:type="continuationSeparator" w:id="0">
    <w:p w14:paraId="76B526A3" w14:textId="77777777" w:rsidR="005C6B78" w:rsidRDefault="005C6B78" w:rsidP="0080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5C1C" w14:textId="0BA83EFF" w:rsidR="00804A5B" w:rsidRDefault="005C6B78">
    <w:pPr>
      <w:pStyle w:val="Intestazione"/>
    </w:pPr>
    <w:r>
      <w:rPr>
        <w:noProof/>
      </w:rPr>
      <w:pict w14:anchorId="79F01D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42.6pt;height:36.7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BOZZA PER LA PUBBLICA CONSULTAZIO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60A49" w14:textId="78D91E81" w:rsidR="00804A5B" w:rsidRDefault="005C6B78">
    <w:pPr>
      <w:pStyle w:val="Intestazione"/>
    </w:pPr>
    <w:r>
      <w:rPr>
        <w:noProof/>
      </w:rPr>
      <w:pict w14:anchorId="31D2A3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42.6pt;height:36.7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BOZZA PER LA PUBBLICA CONSULTAZIO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E2DB9" w14:textId="150D3AEA" w:rsidR="00804A5B" w:rsidRDefault="005C6B78">
    <w:pPr>
      <w:pStyle w:val="Intestazione"/>
    </w:pPr>
    <w:r>
      <w:rPr>
        <w:noProof/>
      </w:rPr>
      <w:pict w14:anchorId="6407A9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42.6pt;height:36.7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BOZZA PER LA PUBBLICA CONSULTAZIO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39F"/>
    <w:multiLevelType w:val="hybridMultilevel"/>
    <w:tmpl w:val="6CCADE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4C6"/>
    <w:multiLevelType w:val="hybridMultilevel"/>
    <w:tmpl w:val="42485576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2DC"/>
    <w:multiLevelType w:val="hybridMultilevel"/>
    <w:tmpl w:val="BAD4ED76"/>
    <w:lvl w:ilvl="0" w:tplc="FFFFFFFF">
      <w:start w:val="1"/>
      <w:numFmt w:val="bullet"/>
      <w:lvlText w:val=""/>
      <w:lvlJc w:val="left"/>
      <w:pPr>
        <w:tabs>
          <w:tab w:val="num" w:pos="663"/>
        </w:tabs>
        <w:ind w:left="10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0EF748AE"/>
    <w:multiLevelType w:val="hybridMultilevel"/>
    <w:tmpl w:val="0D8AA4AA"/>
    <w:lvl w:ilvl="0" w:tplc="6778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472B"/>
    <w:multiLevelType w:val="hybridMultilevel"/>
    <w:tmpl w:val="105ABC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02426"/>
    <w:multiLevelType w:val="hybridMultilevel"/>
    <w:tmpl w:val="FA80C75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C7A37"/>
    <w:multiLevelType w:val="hybridMultilevel"/>
    <w:tmpl w:val="E71CC778"/>
    <w:lvl w:ilvl="0" w:tplc="748A4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13E3"/>
    <w:multiLevelType w:val="hybridMultilevel"/>
    <w:tmpl w:val="4516BB0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A718B"/>
    <w:multiLevelType w:val="hybridMultilevel"/>
    <w:tmpl w:val="66266112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31F1"/>
    <w:multiLevelType w:val="hybridMultilevel"/>
    <w:tmpl w:val="4B824C1C"/>
    <w:lvl w:ilvl="0" w:tplc="EC6C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F51"/>
    <w:multiLevelType w:val="hybridMultilevel"/>
    <w:tmpl w:val="CF6AB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D3D99"/>
    <w:multiLevelType w:val="hybridMultilevel"/>
    <w:tmpl w:val="D090DDC0"/>
    <w:lvl w:ilvl="0" w:tplc="721C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744CF"/>
    <w:multiLevelType w:val="hybridMultilevel"/>
    <w:tmpl w:val="7034F9BE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D5FED"/>
    <w:multiLevelType w:val="hybridMultilevel"/>
    <w:tmpl w:val="9468FC66"/>
    <w:lvl w:ilvl="0" w:tplc="04100011">
      <w:start w:val="1"/>
      <w:numFmt w:val="decimal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39792729"/>
    <w:multiLevelType w:val="hybridMultilevel"/>
    <w:tmpl w:val="B016DD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04E71"/>
    <w:multiLevelType w:val="hybridMultilevel"/>
    <w:tmpl w:val="2F02E6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3313D"/>
    <w:multiLevelType w:val="hybridMultilevel"/>
    <w:tmpl w:val="6AD0214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1F25AC"/>
    <w:multiLevelType w:val="hybridMultilevel"/>
    <w:tmpl w:val="FF7278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A632D2"/>
    <w:multiLevelType w:val="hybridMultilevel"/>
    <w:tmpl w:val="830CCD7E"/>
    <w:lvl w:ilvl="0" w:tplc="BD089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73D00"/>
    <w:multiLevelType w:val="hybridMultilevel"/>
    <w:tmpl w:val="BFD606E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94D95"/>
    <w:multiLevelType w:val="hybridMultilevel"/>
    <w:tmpl w:val="02C80984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7D6E"/>
    <w:multiLevelType w:val="multilevel"/>
    <w:tmpl w:val="B814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332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1458A"/>
    <w:multiLevelType w:val="hybridMultilevel"/>
    <w:tmpl w:val="764CDE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F7663"/>
    <w:multiLevelType w:val="hybridMultilevel"/>
    <w:tmpl w:val="27D445DE"/>
    <w:lvl w:ilvl="0" w:tplc="40AE9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96BD6"/>
    <w:multiLevelType w:val="hybridMultilevel"/>
    <w:tmpl w:val="66727B02"/>
    <w:lvl w:ilvl="0" w:tplc="CA8E3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E4CB6"/>
    <w:multiLevelType w:val="hybridMultilevel"/>
    <w:tmpl w:val="ECC02E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00825"/>
    <w:multiLevelType w:val="hybridMultilevel"/>
    <w:tmpl w:val="B00418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65FB4"/>
    <w:multiLevelType w:val="hybridMultilevel"/>
    <w:tmpl w:val="88E8911A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87A65"/>
    <w:multiLevelType w:val="hybridMultilevel"/>
    <w:tmpl w:val="76B44E20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A746A0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04D5C"/>
    <w:multiLevelType w:val="hybridMultilevel"/>
    <w:tmpl w:val="1A1892FC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4419B"/>
    <w:multiLevelType w:val="hybridMultilevel"/>
    <w:tmpl w:val="23F4CA58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9"/>
  </w:num>
  <w:num w:numId="4">
    <w:abstractNumId w:val="25"/>
  </w:num>
  <w:num w:numId="5">
    <w:abstractNumId w:val="28"/>
  </w:num>
  <w:num w:numId="6">
    <w:abstractNumId w:val="12"/>
  </w:num>
  <w:num w:numId="7">
    <w:abstractNumId w:val="1"/>
  </w:num>
  <w:num w:numId="8">
    <w:abstractNumId w:val="2"/>
  </w:num>
  <w:num w:numId="9">
    <w:abstractNumId w:val="17"/>
  </w:num>
  <w:num w:numId="10">
    <w:abstractNumId w:val="16"/>
  </w:num>
  <w:num w:numId="11">
    <w:abstractNumId w:val="19"/>
  </w:num>
  <w:num w:numId="12">
    <w:abstractNumId w:val="7"/>
  </w:num>
  <w:num w:numId="13">
    <w:abstractNumId w:val="4"/>
  </w:num>
  <w:num w:numId="14">
    <w:abstractNumId w:val="29"/>
  </w:num>
  <w:num w:numId="15">
    <w:abstractNumId w:val="5"/>
  </w:num>
  <w:num w:numId="16">
    <w:abstractNumId w:val="32"/>
  </w:num>
  <w:num w:numId="17">
    <w:abstractNumId w:val="18"/>
  </w:num>
  <w:num w:numId="18">
    <w:abstractNumId w:val="11"/>
  </w:num>
  <w:num w:numId="19">
    <w:abstractNumId w:val="21"/>
  </w:num>
  <w:num w:numId="20">
    <w:abstractNumId w:val="3"/>
  </w:num>
  <w:num w:numId="21">
    <w:abstractNumId w:val="30"/>
  </w:num>
  <w:num w:numId="22">
    <w:abstractNumId w:val="22"/>
  </w:num>
  <w:num w:numId="23">
    <w:abstractNumId w:val="31"/>
  </w:num>
  <w:num w:numId="24">
    <w:abstractNumId w:val="6"/>
  </w:num>
  <w:num w:numId="25">
    <w:abstractNumId w:val="8"/>
  </w:num>
  <w:num w:numId="26">
    <w:abstractNumId w:val="20"/>
  </w:num>
  <w:num w:numId="27">
    <w:abstractNumId w:val="23"/>
  </w:num>
  <w:num w:numId="28">
    <w:abstractNumId w:val="14"/>
  </w:num>
  <w:num w:numId="29">
    <w:abstractNumId w:val="13"/>
  </w:num>
  <w:num w:numId="30">
    <w:abstractNumId w:val="15"/>
  </w:num>
  <w:num w:numId="31">
    <w:abstractNumId w:val="27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FB"/>
    <w:rsid w:val="000040AB"/>
    <w:rsid w:val="000547F8"/>
    <w:rsid w:val="00084E6B"/>
    <w:rsid w:val="000A3FDB"/>
    <w:rsid w:val="000A7F37"/>
    <w:rsid w:val="000B1C23"/>
    <w:rsid w:val="000B22AD"/>
    <w:rsid w:val="000C4064"/>
    <w:rsid w:val="000C534B"/>
    <w:rsid w:val="00104E8C"/>
    <w:rsid w:val="0010705A"/>
    <w:rsid w:val="00135207"/>
    <w:rsid w:val="00141DC1"/>
    <w:rsid w:val="00181791"/>
    <w:rsid w:val="00191A68"/>
    <w:rsid w:val="001D5AF8"/>
    <w:rsid w:val="00227EFB"/>
    <w:rsid w:val="002472C6"/>
    <w:rsid w:val="002479C7"/>
    <w:rsid w:val="0026789B"/>
    <w:rsid w:val="002B3C58"/>
    <w:rsid w:val="002D2425"/>
    <w:rsid w:val="002E02AE"/>
    <w:rsid w:val="002E14EB"/>
    <w:rsid w:val="002E1827"/>
    <w:rsid w:val="002F37C5"/>
    <w:rsid w:val="003017BE"/>
    <w:rsid w:val="003120C4"/>
    <w:rsid w:val="00316930"/>
    <w:rsid w:val="00345CF7"/>
    <w:rsid w:val="00364B15"/>
    <w:rsid w:val="003B08CF"/>
    <w:rsid w:val="00404733"/>
    <w:rsid w:val="004267A7"/>
    <w:rsid w:val="004609AE"/>
    <w:rsid w:val="004629E6"/>
    <w:rsid w:val="004711AB"/>
    <w:rsid w:val="0049477A"/>
    <w:rsid w:val="004A663E"/>
    <w:rsid w:val="004B2463"/>
    <w:rsid w:val="004E497B"/>
    <w:rsid w:val="004F6DC1"/>
    <w:rsid w:val="004F7CAA"/>
    <w:rsid w:val="00502BE8"/>
    <w:rsid w:val="005069FF"/>
    <w:rsid w:val="00514CB5"/>
    <w:rsid w:val="00545665"/>
    <w:rsid w:val="005812CD"/>
    <w:rsid w:val="005C6B78"/>
    <w:rsid w:val="005E1164"/>
    <w:rsid w:val="005E1D88"/>
    <w:rsid w:val="00611795"/>
    <w:rsid w:val="006518F3"/>
    <w:rsid w:val="00652BD1"/>
    <w:rsid w:val="00657F77"/>
    <w:rsid w:val="006C0ED1"/>
    <w:rsid w:val="006C4A6B"/>
    <w:rsid w:val="006C521D"/>
    <w:rsid w:val="00721216"/>
    <w:rsid w:val="00725D13"/>
    <w:rsid w:val="00740D40"/>
    <w:rsid w:val="007A1CEA"/>
    <w:rsid w:val="007B5226"/>
    <w:rsid w:val="007F02E7"/>
    <w:rsid w:val="00802D40"/>
    <w:rsid w:val="00804A5B"/>
    <w:rsid w:val="008230A8"/>
    <w:rsid w:val="00864F79"/>
    <w:rsid w:val="0087468C"/>
    <w:rsid w:val="008E3DE2"/>
    <w:rsid w:val="008E4F94"/>
    <w:rsid w:val="00903BE4"/>
    <w:rsid w:val="00905468"/>
    <w:rsid w:val="00950B80"/>
    <w:rsid w:val="00987BAC"/>
    <w:rsid w:val="0099702D"/>
    <w:rsid w:val="009A3156"/>
    <w:rsid w:val="009D2498"/>
    <w:rsid w:val="009D772A"/>
    <w:rsid w:val="009E1292"/>
    <w:rsid w:val="009F01BA"/>
    <w:rsid w:val="00A17C3E"/>
    <w:rsid w:val="00A56E86"/>
    <w:rsid w:val="00A73F2D"/>
    <w:rsid w:val="00A8547D"/>
    <w:rsid w:val="00AA733E"/>
    <w:rsid w:val="00AC2ED9"/>
    <w:rsid w:val="00AC732C"/>
    <w:rsid w:val="00AF7992"/>
    <w:rsid w:val="00B22885"/>
    <w:rsid w:val="00B30D36"/>
    <w:rsid w:val="00B70566"/>
    <w:rsid w:val="00B76D21"/>
    <w:rsid w:val="00B8307D"/>
    <w:rsid w:val="00BE0630"/>
    <w:rsid w:val="00C07889"/>
    <w:rsid w:val="00C34E86"/>
    <w:rsid w:val="00C36ABD"/>
    <w:rsid w:val="00C713BD"/>
    <w:rsid w:val="00C9567A"/>
    <w:rsid w:val="00CB1E36"/>
    <w:rsid w:val="00D369AE"/>
    <w:rsid w:val="00D50BA1"/>
    <w:rsid w:val="00D57855"/>
    <w:rsid w:val="00D77708"/>
    <w:rsid w:val="00D93FAC"/>
    <w:rsid w:val="00DA6C6D"/>
    <w:rsid w:val="00DF146E"/>
    <w:rsid w:val="00E15E90"/>
    <w:rsid w:val="00E17760"/>
    <w:rsid w:val="00E17FE6"/>
    <w:rsid w:val="00E27F1E"/>
    <w:rsid w:val="00E431BC"/>
    <w:rsid w:val="00E53BC5"/>
    <w:rsid w:val="00E56E02"/>
    <w:rsid w:val="00E859AD"/>
    <w:rsid w:val="00EA47E1"/>
    <w:rsid w:val="00EA5C69"/>
    <w:rsid w:val="00EC7D1E"/>
    <w:rsid w:val="00ED383F"/>
    <w:rsid w:val="00EF2114"/>
    <w:rsid w:val="00F360F4"/>
    <w:rsid w:val="00F41169"/>
    <w:rsid w:val="00F41CC3"/>
    <w:rsid w:val="00F72089"/>
    <w:rsid w:val="00F8644E"/>
    <w:rsid w:val="00F872D3"/>
    <w:rsid w:val="00F92753"/>
    <w:rsid w:val="00F96B8D"/>
    <w:rsid w:val="00F97FDB"/>
    <w:rsid w:val="00FD0DBE"/>
    <w:rsid w:val="00FF1C71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F4E9FA"/>
  <w15:docId w15:val="{E25BE927-E8D7-4486-B046-B43E5716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D383F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D3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644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5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50B8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E27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4A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A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4A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A5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242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88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651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35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BBF45-A876-46E2-900E-755C7190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Anna De Toni</cp:lastModifiedBy>
  <cp:revision>19</cp:revision>
  <cp:lastPrinted>2020-01-30T13:10:00Z</cp:lastPrinted>
  <dcterms:created xsi:type="dcterms:W3CDTF">2019-11-17T16:40:00Z</dcterms:created>
  <dcterms:modified xsi:type="dcterms:W3CDTF">2020-06-09T15:47:00Z</dcterms:modified>
</cp:coreProperties>
</file>