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EBB8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:rsidRPr="00121841" w14:paraId="3FAC1602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4CE01" w14:textId="77777777" w:rsidR="00B30D36" w:rsidRPr="00121841" w:rsidRDefault="00227EFB" w:rsidP="00345CF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HECK LIST</w:t>
            </w:r>
          </w:p>
          <w:p w14:paraId="757FE63C" w14:textId="77777777" w:rsidR="00121841" w:rsidRPr="00121841" w:rsidRDefault="00121841" w:rsidP="00B30D3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46B07EE3" w14:textId="77777777" w:rsidR="00227EFB" w:rsidRPr="00121841" w:rsidRDefault="00B22885" w:rsidP="00B30D36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227EFB"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="00013082"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CASSA e AGENTI CONTABILI</w:t>
            </w:r>
            <w:r w:rsid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”</w:t>
            </w:r>
          </w:p>
          <w:p w14:paraId="7C00A44D" w14:textId="77777777" w:rsidR="00227EFB" w:rsidRPr="00121841" w:rsidRDefault="00227EFB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227EFB" w:rsidRPr="00121841" w14:paraId="56DD20DD" w14:textId="77777777" w:rsidTr="005C0FF9">
        <w:trPr>
          <w:cantSplit/>
          <w:trHeight w:val="42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7D52444" w14:textId="77777777" w:rsidR="00227EFB" w:rsidRPr="00121841" w:rsidRDefault="006B6ECF" w:rsidP="000146DC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PARTE PRIMA: </w:t>
            </w:r>
            <w:r w:rsidR="000146DC"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GESTIONE DEL TESORIERE </w:t>
            </w:r>
          </w:p>
        </w:tc>
      </w:tr>
      <w:tr w:rsidR="000146DC" w:rsidRPr="00121841" w14:paraId="6E7E3F9D" w14:textId="77777777" w:rsidTr="005C0FF9">
        <w:trPr>
          <w:cantSplit/>
          <w:trHeight w:val="4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7C42A828" w14:textId="77777777" w:rsidR="00121841" w:rsidRDefault="00121841" w:rsidP="0096786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2439F9A0" w14:textId="77777777" w:rsidR="000146DC" w:rsidRDefault="000146DC" w:rsidP="0096786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Punto 8.5.1. PVC n. 8</w:t>
            </w:r>
          </w:p>
          <w:p w14:paraId="5F2A2299" w14:textId="77777777" w:rsidR="00121841" w:rsidRPr="00121841" w:rsidRDefault="00121841" w:rsidP="00967868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5E08A9" w:rsidRPr="00121841" w14:paraId="54E2F4CD" w14:textId="77777777" w:rsidTr="00EF170C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3256C25" w14:textId="5CEEE996" w:rsidR="005E08A9" w:rsidRPr="008F5865" w:rsidRDefault="005E08A9" w:rsidP="005E08A9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902477">
              <w:rPr>
                <w:rFonts w:ascii="Book Antiqua" w:hAnsi="Book Antiqua"/>
                <w:b/>
              </w:rPr>
              <w:t xml:space="preserve">                                                                                       </w:t>
            </w:r>
          </w:p>
          <w:p w14:paraId="6DB29896" w14:textId="77777777" w:rsidR="005E08A9" w:rsidRPr="008F5865" w:rsidRDefault="005E08A9" w:rsidP="005E0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4F671808" w14:textId="7A658295" w:rsidR="005E08A9" w:rsidRDefault="005E08A9" w:rsidP="005E0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28D029DE" w14:textId="3BB79077" w:rsidR="005E08A9" w:rsidRPr="005E08A9" w:rsidRDefault="005E08A9" w:rsidP="005E08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     </w:t>
            </w:r>
            <w:r>
              <w:rPr>
                <w:rFonts w:ascii="Book Antiqua" w:hAnsi="Book Antiqua"/>
              </w:rPr>
              <w:t>Data ……………………………</w:t>
            </w:r>
          </w:p>
        </w:tc>
      </w:tr>
      <w:tr w:rsidR="00AC732C" w:rsidRPr="00121841" w14:paraId="6C9CA3FF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C5B69C9" w14:textId="77777777" w:rsidR="00A17C3E" w:rsidRPr="00121841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9F638AE" w14:textId="77777777" w:rsidR="00227EFB" w:rsidRPr="00121841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E9645E" w14:textId="77777777" w:rsidR="00EA5C69" w:rsidRPr="00121841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5BC5F55" w14:textId="77777777" w:rsidR="00227EFB" w:rsidRPr="00121841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A24361" w14:textId="77777777" w:rsidR="00EA5C69" w:rsidRPr="00121841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9FFB1B0" w14:textId="77777777" w:rsidR="00227EFB" w:rsidRPr="00121841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50716C" w14:textId="77777777" w:rsidR="00227EFB" w:rsidRPr="00121841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61C16D3" w14:textId="1B5348A9" w:rsidR="00B16AD9" w:rsidRPr="00121841" w:rsidRDefault="00A17C3E" w:rsidP="00B16AD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C923B8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  <w:p w14:paraId="4EA46748" w14:textId="40C017B3" w:rsidR="00200E5D" w:rsidRPr="00121841" w:rsidRDefault="00200E5D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1B0BB4" w14:textId="320A0F28" w:rsidR="00227EFB" w:rsidRPr="00121841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AC732C" w:rsidRPr="00121841" w14:paraId="1C6B7C0C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2E6" w14:textId="44BD1F64" w:rsidR="008555C5" w:rsidRPr="00121841" w:rsidRDefault="00013082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Il ma</w:t>
            </w:r>
            <w:r w:rsidR="000146DC" w:rsidRPr="00121841">
              <w:rPr>
                <w:rFonts w:ascii="Book Antiqua" w:hAnsi="Book Antiqua"/>
                <w:snapToGrid w:val="0"/>
              </w:rPr>
              <w:t xml:space="preserve">ndato di pagamento </w:t>
            </w:r>
            <w:r w:rsidR="008555C5" w:rsidRPr="00121841">
              <w:rPr>
                <w:rFonts w:ascii="Book Antiqua" w:hAnsi="Book Antiqua"/>
                <w:snapToGrid w:val="0"/>
              </w:rPr>
              <w:t xml:space="preserve">è in possesso di tutti gli elementi costitutivi per la sua emissione </w:t>
            </w:r>
            <w:proofErr w:type="spellStart"/>
            <w:r w:rsidR="008555C5" w:rsidRPr="00121841">
              <w:rPr>
                <w:rFonts w:ascii="Book Antiqua" w:hAnsi="Book Antiqua"/>
                <w:snapToGrid w:val="0"/>
              </w:rPr>
              <w:t>ax</w:t>
            </w:r>
            <w:proofErr w:type="spellEnd"/>
            <w:r w:rsidR="008555C5" w:rsidRPr="00121841">
              <w:rPr>
                <w:rFonts w:ascii="Book Antiqua" w:hAnsi="Book Antiqua"/>
                <w:snapToGrid w:val="0"/>
              </w:rPr>
              <w:t xml:space="preserve">. art. 185 </w:t>
            </w:r>
            <w:r w:rsidR="005F1CA1">
              <w:rPr>
                <w:rFonts w:ascii="Book Antiqua" w:hAnsi="Book Antiqua"/>
                <w:snapToGrid w:val="0"/>
              </w:rPr>
              <w:t>T</w:t>
            </w:r>
            <w:r w:rsidR="008555C5" w:rsidRPr="00121841">
              <w:rPr>
                <w:rFonts w:ascii="Book Antiqua" w:hAnsi="Book Antiqua"/>
                <w:snapToGrid w:val="0"/>
              </w:rPr>
              <w:t xml:space="preserve">uel? </w:t>
            </w:r>
          </w:p>
          <w:p w14:paraId="11320185" w14:textId="0691DD36" w:rsidR="00227EFB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In particolare</w:t>
            </w:r>
            <w:r w:rsidR="005F1CA1">
              <w:rPr>
                <w:rFonts w:ascii="Book Antiqua" w:hAnsi="Book Antiqua"/>
                <w:snapToGrid w:val="0"/>
              </w:rPr>
              <w:t>,</w:t>
            </w:r>
            <w:r w:rsidRPr="00121841">
              <w:rPr>
                <w:rFonts w:ascii="Book Antiqua" w:hAnsi="Book Antiqua"/>
                <w:snapToGrid w:val="0"/>
              </w:rPr>
              <w:t xml:space="preserve"> evidenzia</w:t>
            </w:r>
            <w:r w:rsidR="00013082" w:rsidRPr="00121841">
              <w:rPr>
                <w:rFonts w:ascii="Book Antiqua" w:hAnsi="Book Antiqua"/>
                <w:snapToGrid w:val="0"/>
              </w:rPr>
              <w:t>:</w:t>
            </w:r>
          </w:p>
          <w:p w14:paraId="46710516" w14:textId="77777777" w:rsidR="000146DC" w:rsidRPr="00121841" w:rsidRDefault="000146DC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8DCF88D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Numero</w:t>
            </w:r>
          </w:p>
          <w:p w14:paraId="50383813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Data</w:t>
            </w:r>
          </w:p>
          <w:p w14:paraId="17CC1EAD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Importo</w:t>
            </w:r>
          </w:p>
          <w:p w14:paraId="0CC18A4C" w14:textId="77777777" w:rsidR="00013082" w:rsidRPr="00121841" w:rsidRDefault="005E681F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Capitolo</w:t>
            </w:r>
            <w:r w:rsidR="00013082" w:rsidRPr="00121841">
              <w:rPr>
                <w:rFonts w:ascii="Book Antiqua" w:hAnsi="Book Antiqua"/>
                <w:snapToGrid w:val="0"/>
              </w:rPr>
              <w:t xml:space="preserve"> di spesa</w:t>
            </w:r>
            <w:r w:rsidR="000B4ED9" w:rsidRPr="00121841">
              <w:rPr>
                <w:rFonts w:ascii="Book Antiqua" w:hAnsi="Book Antiqua"/>
                <w:snapToGrid w:val="0"/>
              </w:rPr>
              <w:t xml:space="preserve"> (gestione competenza o residuo) e cassa </w:t>
            </w:r>
          </w:p>
          <w:p w14:paraId="77E348F8" w14:textId="77777777" w:rsidR="000B4ED9" w:rsidRPr="00121841" w:rsidRDefault="000B4ED9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Impegno di spesa (data e numero)</w:t>
            </w:r>
          </w:p>
          <w:p w14:paraId="6573373F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Causale </w:t>
            </w:r>
          </w:p>
          <w:p w14:paraId="101B4E1F" w14:textId="77777777" w:rsidR="00013082" w:rsidRPr="00121841" w:rsidRDefault="00013082" w:rsidP="0050139B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Scissione dei pagamenti (split </w:t>
            </w:r>
            <w:r w:rsidR="00D33272" w:rsidRPr="00121841">
              <w:rPr>
                <w:rFonts w:ascii="Book Antiqua" w:hAnsi="Book Antiqua"/>
                <w:snapToGrid w:val="0"/>
              </w:rPr>
              <w:t>payment e ritenuta acconto) corrispondenza</w:t>
            </w:r>
            <w:r w:rsidRPr="00121841">
              <w:rPr>
                <w:rFonts w:ascii="Book Antiqua" w:hAnsi="Book Antiqua"/>
                <w:snapToGrid w:val="0"/>
              </w:rPr>
              <w:t xml:space="preserve"> da fattura elettronica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90B3C3" w14:textId="77777777" w:rsidR="00227EFB" w:rsidRPr="00121841" w:rsidRDefault="00227EFB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F1AC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FEF3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61DF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8555C5" w:rsidRPr="00121841" w14:paraId="75A78276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93E3" w14:textId="0AF52BD3" w:rsidR="008555C5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Il principio della competenza è rispettato nella rilevazione de</w:t>
            </w:r>
            <w:r w:rsidR="00FF6603" w:rsidRPr="00121841">
              <w:rPr>
                <w:rFonts w:ascii="Book Antiqua" w:hAnsi="Book Antiqua"/>
                <w:snapToGrid w:val="0"/>
              </w:rPr>
              <w:t>gli impegni</w:t>
            </w:r>
            <w:r w:rsidRPr="00121841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6483" w14:textId="77777777" w:rsidR="008555C5" w:rsidRPr="00121841" w:rsidRDefault="008555C5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CD1B" w14:textId="77777777" w:rsidR="008555C5" w:rsidRPr="00121841" w:rsidRDefault="008555C5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64A5" w14:textId="77777777" w:rsidR="008555C5" w:rsidRPr="00121841" w:rsidRDefault="008555C5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CDA2" w14:textId="77777777" w:rsidR="008555C5" w:rsidRPr="00121841" w:rsidRDefault="008555C5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AC732C" w:rsidRPr="00121841" w14:paraId="0C7D13F5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D511" w14:textId="4C9CB797" w:rsidR="008555C5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La reversale di incasso è in possesso di tutti gli elementi costitutivi per la sua emissione ex. art. 180 </w:t>
            </w:r>
            <w:r w:rsidR="005F1CA1">
              <w:rPr>
                <w:rFonts w:ascii="Book Antiqua" w:hAnsi="Book Antiqua"/>
                <w:snapToGrid w:val="0"/>
              </w:rPr>
              <w:t>T</w:t>
            </w:r>
            <w:r w:rsidRPr="00121841">
              <w:rPr>
                <w:rFonts w:ascii="Book Antiqua" w:hAnsi="Book Antiqua"/>
                <w:snapToGrid w:val="0"/>
              </w:rPr>
              <w:t xml:space="preserve">uel ? </w:t>
            </w:r>
          </w:p>
          <w:p w14:paraId="09AEABBF" w14:textId="77777777" w:rsidR="008555C5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CFF6534" w14:textId="006E18DA" w:rsidR="008555C5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In particolare</w:t>
            </w:r>
            <w:r w:rsidR="00B16AD9">
              <w:rPr>
                <w:rFonts w:ascii="Book Antiqua" w:hAnsi="Book Antiqua"/>
                <w:snapToGrid w:val="0"/>
              </w:rPr>
              <w:t>,</w:t>
            </w:r>
            <w:r w:rsidRPr="00121841">
              <w:rPr>
                <w:rFonts w:ascii="Book Antiqua" w:hAnsi="Book Antiqua"/>
                <w:snapToGrid w:val="0"/>
              </w:rPr>
              <w:t xml:space="preserve"> evidenzia:</w:t>
            </w:r>
          </w:p>
          <w:p w14:paraId="3CDA32D0" w14:textId="77777777" w:rsidR="008555C5" w:rsidRPr="00121841" w:rsidRDefault="008555C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9DC34E0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Numero</w:t>
            </w:r>
          </w:p>
          <w:p w14:paraId="2FE52AA6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Data</w:t>
            </w:r>
          </w:p>
          <w:p w14:paraId="05A201C4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Importo</w:t>
            </w:r>
          </w:p>
          <w:p w14:paraId="332A7F6A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Capitolo di entrata (gestione competenza o residuo) e cassa </w:t>
            </w:r>
          </w:p>
          <w:p w14:paraId="0066DCBB" w14:textId="333BF519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Accertamento (data e numero)</w:t>
            </w:r>
          </w:p>
          <w:p w14:paraId="052E8F89" w14:textId="77777777" w:rsidR="008555C5" w:rsidRPr="00121841" w:rsidRDefault="008555C5" w:rsidP="0050139B">
            <w:pPr>
              <w:pStyle w:val="Paragrafoelenco"/>
              <w:widowControl w:val="0"/>
              <w:numPr>
                <w:ilvl w:val="0"/>
                <w:numId w:val="33"/>
              </w:numPr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Causale </w:t>
            </w:r>
          </w:p>
          <w:p w14:paraId="66452494" w14:textId="77777777" w:rsidR="00ED383F" w:rsidRPr="00121841" w:rsidRDefault="00ED383F" w:rsidP="0050139B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379E" w14:textId="77777777" w:rsidR="00227EFB" w:rsidRPr="00121841" w:rsidRDefault="00227EFB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60AB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69C5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88C0" w14:textId="77777777" w:rsidR="00227EFB" w:rsidRPr="00121841" w:rsidRDefault="00227EF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FF6603" w:rsidRPr="00121841" w14:paraId="14064F7B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831" w14:textId="1ABC1C38" w:rsidR="00FF6603" w:rsidRPr="00121841" w:rsidRDefault="00FF6603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Il principio della competenza è rispettato nella rilevazione degli accertamenti?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53D65" w14:textId="77777777" w:rsidR="00FF6603" w:rsidRPr="00121841" w:rsidRDefault="00FF6603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0B02" w14:textId="77777777" w:rsidR="00FF6603" w:rsidRPr="00121841" w:rsidRDefault="00FF6603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1DC" w14:textId="77777777" w:rsidR="00FF6603" w:rsidRPr="00121841" w:rsidRDefault="00FF6603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FF5C" w14:textId="77777777" w:rsidR="00FF6603" w:rsidRPr="00121841" w:rsidRDefault="00FF6603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2E02AE" w:rsidRPr="00121841" w14:paraId="414DA7C9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A1B" w14:textId="77777777" w:rsidR="002E02AE" w:rsidRPr="00121841" w:rsidRDefault="00AC2AF5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E’ stata chiusa la reversale con il mandato per il pagamento dello split payment?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730F07" w14:textId="77777777" w:rsidR="002E02AE" w:rsidRPr="00121841" w:rsidRDefault="002E02AE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7BD9" w14:textId="77777777" w:rsidR="002E02AE" w:rsidRPr="00121841" w:rsidRDefault="002E02A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1AC8" w14:textId="77777777" w:rsidR="002E02AE" w:rsidRPr="00121841" w:rsidRDefault="002E02A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5A87" w14:textId="77777777" w:rsidR="002E02AE" w:rsidRPr="00121841" w:rsidRDefault="002E02A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8A08EB" w:rsidRPr="00121841" w14:paraId="22C9944B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371" w14:textId="3D934C96" w:rsidR="008A08EB" w:rsidRPr="00121841" w:rsidRDefault="008A08EB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Il saldo della cassa vincolata risultante presso la Tesoreria corrisponde al saldo risultante presso l’ente?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2E5B2" w14:textId="77777777" w:rsidR="008A08EB" w:rsidRPr="00121841" w:rsidRDefault="008A08EB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A9DF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7912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960F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19200E" w:rsidRPr="00121841" w14:paraId="32A2E84C" w14:textId="77777777" w:rsidTr="00CC730F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8BB" w14:textId="77777777" w:rsidR="0019200E" w:rsidRPr="00121841" w:rsidRDefault="0019200E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Vi sono operazioni di prelevamento dai conti correnti diversi dal conto di tesoreria secondo la periodicità prevista?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036C5A" w14:textId="77777777" w:rsidR="0019200E" w:rsidRPr="00121841" w:rsidRDefault="0019200E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077F0" w14:textId="77777777" w:rsidR="0019200E" w:rsidRPr="00121841" w:rsidRDefault="0019200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5F15B" w14:textId="77777777" w:rsidR="0019200E" w:rsidRPr="00121841" w:rsidRDefault="0019200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E841" w14:textId="77777777" w:rsidR="0019200E" w:rsidRPr="00121841" w:rsidRDefault="0019200E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8A08EB" w:rsidRPr="00121841" w14:paraId="7E83EFB4" w14:textId="77777777" w:rsidTr="00CC730F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7A1" w14:textId="75241FB3" w:rsidR="008A08EB" w:rsidRPr="00121841" w:rsidRDefault="008A08EB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lastRenderedPageBreak/>
              <w:t>L’eventuale utilizzo di cassa di entrate a destinazione vincolata avviene per il finanziamento delle spese correnti?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1EC" w14:textId="77777777" w:rsidR="008A08EB" w:rsidRPr="00121841" w:rsidRDefault="008A08EB" w:rsidP="00104E8C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AAF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E26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1BA" w14:textId="77777777" w:rsidR="008A08EB" w:rsidRPr="00121841" w:rsidRDefault="008A08EB" w:rsidP="00104E8C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F1CA1" w:rsidRPr="00121841" w14:paraId="6BA35698" w14:textId="77777777" w:rsidTr="00270149">
        <w:trPr>
          <w:cantSplit/>
          <w:trHeight w:val="511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1F0BBA7C" w14:textId="77777777" w:rsidR="005F1CA1" w:rsidRDefault="005F1CA1" w:rsidP="00121841">
            <w:pPr>
              <w:widowControl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FDEE15" w14:textId="77777777" w:rsidR="005F1CA1" w:rsidRPr="00121841" w:rsidRDefault="005F1CA1" w:rsidP="00FD44AD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270149" w:rsidRPr="00121841" w14:paraId="78394AA7" w14:textId="77777777" w:rsidTr="006722A3">
        <w:trPr>
          <w:cantSplit/>
          <w:trHeight w:val="325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E94" w14:textId="77777777" w:rsidR="00270149" w:rsidRPr="00121841" w:rsidRDefault="00270149" w:rsidP="00121841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br w:type="page"/>
            </w:r>
            <w:r w:rsidRPr="00121841">
              <w:rPr>
                <w:rFonts w:ascii="Book Antiqua" w:hAnsi="Book Antiqua"/>
              </w:rPr>
              <w:br w:type="page"/>
            </w: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2DECD464" w14:textId="77777777" w:rsidR="00270149" w:rsidRPr="00121841" w:rsidRDefault="00270149" w:rsidP="00121841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719CC4E3" w14:textId="638833E7" w:rsidR="00270149" w:rsidRDefault="00270149" w:rsidP="00121841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7B3C147C" w14:textId="77777777" w:rsidR="00270149" w:rsidRPr="00121841" w:rsidRDefault="00270149" w:rsidP="00121841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263A1A06" w14:textId="77777777" w:rsidR="00270149" w:rsidRPr="00B16AD9" w:rsidRDefault="00270149" w:rsidP="00121841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53D1C955" w14:textId="77777777" w:rsidR="00270149" w:rsidRDefault="00270149" w:rsidP="0027014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6A1E1922" w14:textId="77777777" w:rsidR="00270149" w:rsidRDefault="00270149" w:rsidP="0027014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0FE5615" w14:textId="1E8AF9AC" w:rsidR="006722A3" w:rsidRPr="006722A3" w:rsidRDefault="00270149" w:rsidP="006722A3">
            <w:pPr>
              <w:widowControl w:val="0"/>
              <w:jc w:val="both"/>
              <w:rPr>
                <w:rFonts w:ascii="Book Antiqua" w:hAnsi="Book Antiqua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B644A85" w14:textId="77777777" w:rsidR="005C0FF9" w:rsidRPr="00121841" w:rsidRDefault="005C0FF9" w:rsidP="005C0FF9">
      <w:pPr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5C0FF9" w:rsidRPr="00121841" w14:paraId="1F6C9E81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BDBC2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7D7A7CA9" w14:textId="1A9B83B0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B16AD9">
              <w:rPr>
                <w:rFonts w:ascii="Book Antiqua" w:hAnsi="Book Antiqua"/>
                <w:b/>
                <w:snapToGrid w:val="0"/>
              </w:rPr>
              <w:t>u</w:t>
            </w:r>
            <w:r w:rsidRPr="00121841"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0D61C5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738E4F4E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98FD5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DFB777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14D2B29A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565F0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A472BD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206A28A6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A6DAC" w14:textId="4513ABF8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7AEE545F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27A824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42EAA446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62B4B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D79E8F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0F2AA6CC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CE07B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2C9A5D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1498CD6F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D9EBF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CFFFE5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34550023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DDB9D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AEEA08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67A7A5CA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30047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5E7B28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</w:tbl>
    <w:p w14:paraId="6ECFB4AB" w14:textId="4C699B98" w:rsidR="00800240" w:rsidRDefault="00800240" w:rsidP="00ED6044">
      <w:pPr>
        <w:spacing w:before="100" w:beforeAutospacing="1" w:after="100" w:afterAutospacing="1" w:line="360" w:lineRule="auto"/>
      </w:pPr>
    </w:p>
    <w:p w14:paraId="0A82F7C7" w14:textId="0F2D9214" w:rsidR="00CC730F" w:rsidRDefault="00CC730F" w:rsidP="00ED6044">
      <w:pPr>
        <w:spacing w:before="100" w:beforeAutospacing="1" w:after="100" w:afterAutospacing="1" w:line="360" w:lineRule="auto"/>
      </w:pPr>
    </w:p>
    <w:p w14:paraId="6249D4CB" w14:textId="45754D2F" w:rsidR="005E0490" w:rsidRDefault="005E0490" w:rsidP="00ED6044">
      <w:pPr>
        <w:spacing w:before="100" w:beforeAutospacing="1" w:after="100" w:afterAutospacing="1" w:line="360" w:lineRule="auto"/>
      </w:pPr>
    </w:p>
    <w:p w14:paraId="401ECAF5" w14:textId="785CEC65" w:rsidR="005E0490" w:rsidRDefault="005E0490" w:rsidP="00ED6044">
      <w:pPr>
        <w:spacing w:before="100" w:beforeAutospacing="1" w:after="100" w:afterAutospacing="1" w:line="360" w:lineRule="auto"/>
      </w:pPr>
    </w:p>
    <w:p w14:paraId="1FE5E544" w14:textId="77777777" w:rsidR="005E0490" w:rsidRDefault="005E0490" w:rsidP="00ED6044">
      <w:pPr>
        <w:spacing w:before="100" w:beforeAutospacing="1" w:after="100" w:afterAutospacing="1" w:line="360" w:lineRule="auto"/>
      </w:pPr>
    </w:p>
    <w:p w14:paraId="0663B665" w14:textId="3A58E8C7" w:rsidR="00CC730F" w:rsidRDefault="00CC730F" w:rsidP="00ED6044">
      <w:pPr>
        <w:spacing w:before="100" w:beforeAutospacing="1" w:after="100" w:afterAutospacing="1" w:line="360" w:lineRule="auto"/>
      </w:pPr>
    </w:p>
    <w:p w14:paraId="7FE6FAF2" w14:textId="5B362241" w:rsidR="00CC730F" w:rsidRDefault="00CC730F" w:rsidP="00ED6044">
      <w:pPr>
        <w:spacing w:before="100" w:beforeAutospacing="1" w:after="100" w:afterAutospacing="1" w:line="360" w:lineRule="auto"/>
      </w:pPr>
    </w:p>
    <w:p w14:paraId="46CCF9B2" w14:textId="4093F296" w:rsidR="00CC730F" w:rsidRDefault="00CC730F" w:rsidP="00ED6044">
      <w:pPr>
        <w:spacing w:before="100" w:beforeAutospacing="1" w:after="100" w:afterAutospacing="1" w:line="360" w:lineRule="auto"/>
      </w:pPr>
    </w:p>
    <w:p w14:paraId="06CE44EE" w14:textId="3237092C" w:rsidR="00CC730F" w:rsidRDefault="00CC730F" w:rsidP="00ED6044">
      <w:pPr>
        <w:spacing w:before="100" w:beforeAutospacing="1" w:after="100" w:afterAutospacing="1" w:line="360" w:lineRule="auto"/>
      </w:pPr>
    </w:p>
    <w:p w14:paraId="0467A4FF" w14:textId="17316D1B" w:rsidR="00CC730F" w:rsidRDefault="00CC730F" w:rsidP="00ED6044">
      <w:pPr>
        <w:spacing w:before="100" w:beforeAutospacing="1" w:after="100" w:afterAutospacing="1" w:line="360" w:lineRule="auto"/>
      </w:pPr>
    </w:p>
    <w:p w14:paraId="5E336D90" w14:textId="77777777" w:rsidR="00CC730F" w:rsidRDefault="00CC730F" w:rsidP="00ED6044">
      <w:pPr>
        <w:spacing w:before="100" w:beforeAutospacing="1" w:after="100" w:afterAutospacing="1" w:line="360" w:lineRule="auto"/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800240" w:rsidRPr="00121841" w14:paraId="7EA2CE7D" w14:textId="77777777" w:rsidTr="002C1EBB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52EC46" w14:textId="77777777" w:rsidR="00800240" w:rsidRPr="00EE07C3" w:rsidRDefault="00800240" w:rsidP="002C1EB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lastRenderedPageBreak/>
              <w:t>CHECK LIST</w:t>
            </w:r>
          </w:p>
          <w:p w14:paraId="553EFF7D" w14:textId="77777777" w:rsidR="00121841" w:rsidRPr="00EE07C3" w:rsidRDefault="00121841" w:rsidP="002C1EB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6CDC31E1" w14:textId="2B039BF7" w:rsidR="00800240" w:rsidRPr="00EE07C3" w:rsidRDefault="00800240" w:rsidP="002C1EB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</w:t>
            </w:r>
            <w:r w:rsidR="00121841"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</w:t>
            </w: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>CASSA e AGENTI CONTABILI</w:t>
            </w:r>
            <w:r w:rsidR="00121841"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”</w:t>
            </w:r>
          </w:p>
          <w:p w14:paraId="56726BEA" w14:textId="77777777" w:rsidR="00800240" w:rsidRPr="002C3B21" w:rsidRDefault="00800240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800240" w:rsidRPr="00121841" w14:paraId="7D9EE278" w14:textId="77777777" w:rsidTr="005C0FF9">
        <w:trPr>
          <w:cantSplit/>
          <w:trHeight w:val="4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46D8937C" w14:textId="77777777" w:rsidR="00800240" w:rsidRPr="00EE07C3" w:rsidRDefault="00800240" w:rsidP="00800240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>PARTE SECONDA: CONTROLLO AGENTI CONTABILI</w:t>
            </w:r>
          </w:p>
        </w:tc>
      </w:tr>
      <w:tr w:rsidR="00A24B44" w:rsidRPr="00121841" w14:paraId="43096BCB" w14:textId="77777777" w:rsidTr="002C1EBB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53632169" w14:textId="77777777" w:rsidR="00121841" w:rsidRPr="00EE07C3" w:rsidRDefault="00121841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1D0590E3" w14:textId="77777777" w:rsidR="00A24B44" w:rsidRPr="00EE07C3" w:rsidRDefault="00A24B44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Punto 8.4.2. </w:t>
            </w:r>
            <w:r w:rsidR="00121841"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, </w:t>
            </w: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8.4.4. </w:t>
            </w:r>
            <w:r w:rsidR="00121841"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, </w:t>
            </w:r>
            <w:r w:rsidRPr="00EE07C3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 8.5.2.  8.5.3. PVC n. 8</w:t>
            </w:r>
          </w:p>
          <w:p w14:paraId="799422D6" w14:textId="77777777" w:rsidR="00121841" w:rsidRPr="00EE07C3" w:rsidRDefault="00121841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CC730F" w:rsidRPr="00121841" w14:paraId="7D93B42E" w14:textId="77777777" w:rsidTr="00A66FF8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4831D95" w14:textId="5483FFB3" w:rsidR="00CC730F" w:rsidRPr="008F5865" w:rsidRDefault="00CC730F" w:rsidP="00CC730F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902477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7512C893" w14:textId="77777777" w:rsidR="00CC730F" w:rsidRPr="008F5865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6CA59B5F" w14:textId="66338E07" w:rsidR="00CC730F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AE081D6" w14:textId="77777777" w:rsidR="00CC730F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2EBF57B0" w14:textId="760984AB" w:rsidR="00CC730F" w:rsidRPr="00121841" w:rsidRDefault="00CC730F" w:rsidP="00CC730F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800240" w:rsidRPr="00121841" w14:paraId="33DA5992" w14:textId="77777777" w:rsidTr="002C1EBB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B7934EB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3F003F8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D530D0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42BE6EBC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AAED9A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1E69F57A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1FB1C90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7983B8F2" w14:textId="65174858" w:rsidR="00CC730F" w:rsidRPr="00121841" w:rsidRDefault="00800240" w:rsidP="00CC730F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</w:t>
            </w:r>
            <w:r w:rsidR="00CC730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R</w:t>
            </w:r>
            <w:r w:rsidR="00C923B8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  <w:p w14:paraId="4D5B06B0" w14:textId="55E73C23" w:rsidR="002C0D50" w:rsidRPr="00121841" w:rsidRDefault="002C0D5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1C61A2" w14:textId="77777777" w:rsidR="00800240" w:rsidRPr="00121841" w:rsidRDefault="00800240" w:rsidP="002C1EBB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 delle procedure svolte e delle evidenze prodotte - Commenti</w:t>
            </w:r>
          </w:p>
        </w:tc>
      </w:tr>
      <w:tr w:rsidR="00800240" w:rsidRPr="00121841" w14:paraId="5E0C1FED" w14:textId="77777777" w:rsidTr="002C1EBB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0816" w14:textId="77777777" w:rsidR="00800240" w:rsidRPr="00121841" w:rsidRDefault="00350767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L’Ente ha aggiornato l’elenco suddiviso in agenti contabili interni ed esterni?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9DC" w14:textId="77777777" w:rsidR="00800240" w:rsidRPr="00121841" w:rsidRDefault="00800240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1CE8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BDFC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2DE2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800240" w:rsidRPr="00121841" w14:paraId="2A327E8B" w14:textId="77777777" w:rsidTr="002C1EBB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A55C" w14:textId="77777777" w:rsidR="00800240" w:rsidRPr="00121841" w:rsidRDefault="00350767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Sono presenti gli atti di nomina?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813B" w14:textId="77777777" w:rsidR="00800240" w:rsidRPr="00121841" w:rsidRDefault="00800240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80DC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5C41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E57C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800240" w:rsidRPr="00121841" w14:paraId="6E8A10AD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2AF" w14:textId="77777777" w:rsidR="00800240" w:rsidRPr="00121841" w:rsidRDefault="008D3CC7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Nel regolamento economale, è indicata la specifica tipologia delle spese, entità dell’anticipazione e modalità di pagamento e reintegro?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959BC2" w14:textId="77777777" w:rsidR="00800240" w:rsidRPr="00121841" w:rsidRDefault="00800240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48CD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CD2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60CB" w14:textId="77777777" w:rsidR="00800240" w:rsidRPr="00121841" w:rsidRDefault="00800240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F34111" w:rsidRPr="00121841" w14:paraId="27CC002C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13F" w14:textId="75FF1576" w:rsidR="00F34111" w:rsidRPr="00121841" w:rsidRDefault="00097176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Gli agenti contabili esterni rispettano la tempistica di riversamento delle entrate e presentano all’ente il conto annuale della loro gestione?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8663A" w14:textId="77777777" w:rsidR="00F34111" w:rsidRPr="00121841" w:rsidRDefault="00F34111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9ED4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0A1A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4E2D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097176" w:rsidRPr="00121841" w14:paraId="22A87001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A12" w14:textId="05E117CF" w:rsidR="00097176" w:rsidRPr="00121841" w:rsidRDefault="00097176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Le imprese del settore recettizio rendicontano e riversano periodicamente all’Ente l’imposta di soggiorno e presentano il conto della loro gestione?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F4652" w14:textId="77777777" w:rsidR="00097176" w:rsidRPr="00121841" w:rsidRDefault="00097176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9334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FC72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70FC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097176" w:rsidRPr="00121841" w14:paraId="3BB17B12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4F7" w14:textId="69C43FE6" w:rsidR="00097176" w:rsidRPr="00121841" w:rsidRDefault="00097176" w:rsidP="0050139B">
            <w:pPr>
              <w:pStyle w:val="Default"/>
              <w:jc w:val="both"/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>I consegnatari dei beni mobili</w:t>
            </w:r>
            <w:r w:rsidR="005C0FF9"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, </w:t>
            </w:r>
            <w:r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>soggetti ad un obbligo di custodia e non di semplice vigilanza</w:t>
            </w:r>
            <w:r w:rsidR="005C0FF9"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, redigono il conto giudiziale utilizzando il </w:t>
            </w:r>
            <w:proofErr w:type="spellStart"/>
            <w:r w:rsidR="005C0FF9"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>Mod</w:t>
            </w:r>
            <w:proofErr w:type="spellEnd"/>
            <w:r w:rsidR="005C0FF9"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>. 24 - DPR n.194/1996 ?</w:t>
            </w:r>
            <w:r w:rsidRPr="00121841">
              <w:rPr>
                <w:rFonts w:ascii="Book Antiqua" w:eastAsia="Times New Roman" w:hAnsi="Book Antiqua" w:cs="Times New Roman"/>
                <w:snapToGrid w:val="0"/>
                <w:color w:val="auto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E5FF5" w14:textId="77777777" w:rsidR="00097176" w:rsidRPr="00121841" w:rsidRDefault="00097176" w:rsidP="002C1EBB">
            <w:pPr>
              <w:widowControl w:val="0"/>
              <w:rPr>
                <w:rFonts w:ascii="Book Antiqua" w:hAnsi="Book Antiqua" w:cs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3E1A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 w:cs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4E47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C3AB" w14:textId="77777777" w:rsidR="00097176" w:rsidRPr="00121841" w:rsidRDefault="00097176" w:rsidP="002C1EBB">
            <w:pPr>
              <w:widowControl w:val="0"/>
              <w:jc w:val="center"/>
              <w:rPr>
                <w:rFonts w:ascii="Book Antiqua" w:hAnsi="Book Antiqua" w:cs="Arial"/>
                <w:snapToGrid w:val="0"/>
              </w:rPr>
            </w:pPr>
          </w:p>
        </w:tc>
      </w:tr>
      <w:tr w:rsidR="00F010D8" w:rsidRPr="00121841" w14:paraId="25B3A9CC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66F" w14:textId="1EDE3673" w:rsidR="00F010D8" w:rsidRPr="00121841" w:rsidRDefault="00F010D8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In riferimento a quanto disposto dall’art. 138 del </w:t>
            </w:r>
            <w:proofErr w:type="spellStart"/>
            <w:r w:rsidRPr="00121841">
              <w:rPr>
                <w:rFonts w:ascii="Book Antiqua" w:hAnsi="Book Antiqua"/>
                <w:snapToGrid w:val="0"/>
              </w:rPr>
              <w:t>D.Lgs.</w:t>
            </w:r>
            <w:proofErr w:type="spellEnd"/>
            <w:r w:rsidRPr="00121841">
              <w:rPr>
                <w:rFonts w:ascii="Book Antiqua" w:hAnsi="Book Antiqua"/>
                <w:snapToGrid w:val="0"/>
              </w:rPr>
              <w:t xml:space="preserve"> n. 174 del 26/08/2016 “Codice di Giustizia Contabile”, l’Ente ha provveduto a comunicare alla sezione Giurisdizionale territorialmente competente della Corte dei </w:t>
            </w:r>
            <w:r w:rsidR="00CC730F">
              <w:rPr>
                <w:rFonts w:ascii="Book Antiqua" w:hAnsi="Book Antiqua"/>
                <w:snapToGrid w:val="0"/>
              </w:rPr>
              <w:t>c</w:t>
            </w:r>
            <w:r w:rsidRPr="00121841">
              <w:rPr>
                <w:rFonts w:ascii="Book Antiqua" w:hAnsi="Book Antiqua"/>
                <w:snapToGrid w:val="0"/>
              </w:rPr>
              <w:t>onti i dati identificativi relativi ai soggetti nominati agenti contabili e tenuti alla resa di conto giudiziale</w:t>
            </w:r>
            <w:r w:rsidR="00F34111" w:rsidRPr="00121841">
              <w:rPr>
                <w:rFonts w:ascii="Book Antiqua" w:hAnsi="Book Antiqua"/>
                <w:snapToGrid w:val="0"/>
              </w:rPr>
              <w:t xml:space="preserve"> attraverso il sistema SIRECO</w:t>
            </w:r>
            <w:r w:rsidRPr="00121841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41272" w14:textId="77777777" w:rsidR="00F010D8" w:rsidRPr="00121841" w:rsidRDefault="00F010D8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7C3F" w14:textId="77777777" w:rsidR="00F010D8" w:rsidRPr="00121841" w:rsidRDefault="00F010D8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7F1C" w14:textId="77777777" w:rsidR="00F010D8" w:rsidRPr="00121841" w:rsidRDefault="00F010D8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49AF" w14:textId="77777777" w:rsidR="00F010D8" w:rsidRPr="00121841" w:rsidRDefault="00F010D8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F720EC" w:rsidRPr="00121841" w14:paraId="7B5F7EA1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E2C" w14:textId="77777777" w:rsidR="00F720EC" w:rsidRPr="00121841" w:rsidRDefault="00F720EC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L’Ente ha individuato in riferimento all’art. 139 del D.LGS. 174/2016 “Codice di Giustizia Contabile”, il Responsabile del Procedimento per il deposito presso la Sezione Giurisdizionale territorialmente competente unitamente alla relazione degli organi di controllo interno?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370BC" w14:textId="77777777" w:rsidR="00F720EC" w:rsidRPr="00121841" w:rsidRDefault="00F720EC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B4C9" w14:textId="77777777" w:rsidR="00F720EC" w:rsidRPr="00121841" w:rsidRDefault="00F720EC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70B7" w14:textId="77777777" w:rsidR="00F720EC" w:rsidRPr="00121841" w:rsidRDefault="00F720EC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F353" w14:textId="77777777" w:rsidR="00F720EC" w:rsidRPr="00121841" w:rsidRDefault="00F720EC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0B3AB7" w:rsidRPr="00121841" w14:paraId="55B18294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1A2" w14:textId="77777777" w:rsidR="000B3AB7" w:rsidRPr="00121841" w:rsidRDefault="000B3AB7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L’Agente contabile ha presentato il conto giudiziale all’Ente Locale, entro 30 gg. dal termine dell’esercizio di riferimento?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7932A" w14:textId="77777777" w:rsidR="000B3AB7" w:rsidRPr="00121841" w:rsidRDefault="000B3AB7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9EC1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2C8D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0048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F34111" w:rsidRPr="00121841" w14:paraId="354C4B0B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8FE" w14:textId="0DE99FEE" w:rsidR="00F34111" w:rsidRPr="00121841" w:rsidRDefault="00F34111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>Per ogni conto giudiziale si è proceduto alla parifica?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617D9" w14:textId="77777777" w:rsidR="00F34111" w:rsidRPr="00121841" w:rsidRDefault="00F34111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D26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9475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3B8C" w14:textId="77777777" w:rsidR="00F34111" w:rsidRPr="00121841" w:rsidRDefault="00F34111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0B3AB7" w:rsidRPr="00121841" w14:paraId="4537A3DD" w14:textId="77777777" w:rsidTr="002C1EBB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F06" w14:textId="2157F691" w:rsidR="000B3AB7" w:rsidRPr="00121841" w:rsidRDefault="000B3AB7" w:rsidP="0050139B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21841">
              <w:rPr>
                <w:rFonts w:ascii="Book Antiqua" w:hAnsi="Book Antiqua"/>
                <w:snapToGrid w:val="0"/>
              </w:rPr>
              <w:t xml:space="preserve">L’Ente Locale ha trasmesso alla Corte dei </w:t>
            </w:r>
            <w:r w:rsidR="00CC730F">
              <w:rPr>
                <w:rFonts w:ascii="Book Antiqua" w:hAnsi="Book Antiqua"/>
                <w:snapToGrid w:val="0"/>
              </w:rPr>
              <w:t>c</w:t>
            </w:r>
            <w:r w:rsidRPr="00121841">
              <w:rPr>
                <w:rFonts w:ascii="Book Antiqua" w:hAnsi="Book Antiqua"/>
                <w:snapToGrid w:val="0"/>
              </w:rPr>
              <w:t xml:space="preserve">onti il conto giudiziale </w:t>
            </w:r>
            <w:r w:rsidR="007B185B" w:rsidRPr="00121841">
              <w:rPr>
                <w:rFonts w:ascii="Book Antiqua" w:hAnsi="Book Antiqua"/>
                <w:snapToGrid w:val="0"/>
              </w:rPr>
              <w:t>ricevuto dall’agente contabile</w:t>
            </w:r>
            <w:r w:rsidR="00F34111" w:rsidRPr="00121841">
              <w:rPr>
                <w:rFonts w:ascii="Book Antiqua" w:hAnsi="Book Antiqua"/>
                <w:snapToGrid w:val="0"/>
              </w:rPr>
              <w:t xml:space="preserve"> debitamente parificato</w:t>
            </w:r>
            <w:r w:rsidR="007B185B" w:rsidRPr="00121841">
              <w:rPr>
                <w:rFonts w:ascii="Book Antiqua" w:hAnsi="Book Antiqua"/>
                <w:snapToGrid w:val="0"/>
              </w:rPr>
              <w:t xml:space="preserve">, </w:t>
            </w:r>
            <w:r w:rsidRPr="00121841">
              <w:rPr>
                <w:rFonts w:ascii="Book Antiqua" w:hAnsi="Book Antiqua"/>
                <w:snapToGrid w:val="0"/>
              </w:rPr>
              <w:t>entro 60 gg. dall’approvazione del rendiconto</w:t>
            </w:r>
            <w:r w:rsidR="00F34111" w:rsidRPr="00121841">
              <w:rPr>
                <w:rFonts w:ascii="Book Antiqua" w:hAnsi="Book Antiqua"/>
                <w:snapToGrid w:val="0"/>
              </w:rPr>
              <w:t xml:space="preserve"> attraverso il sistema SIRECO</w:t>
            </w:r>
            <w:r w:rsidRPr="00121841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3264B4" w14:textId="77777777" w:rsidR="000B3AB7" w:rsidRPr="00121841" w:rsidRDefault="000B3AB7" w:rsidP="002C1EBB">
            <w:pPr>
              <w:widowControl w:val="0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19F7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0AFE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B28C" w14:textId="77777777" w:rsidR="000B3AB7" w:rsidRPr="00121841" w:rsidRDefault="000B3AB7" w:rsidP="002C1EBB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</w:tbl>
    <w:p w14:paraId="02962A8F" w14:textId="77777777" w:rsidR="00121841" w:rsidRDefault="00121841">
      <w:r>
        <w:br w:type="page"/>
      </w: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349"/>
      </w:tblGrid>
      <w:tr w:rsidR="005E0490" w:rsidRPr="00121841" w14:paraId="461E21DC" w14:textId="77777777" w:rsidTr="00EE3557">
        <w:trPr>
          <w:cantSplit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A2F1AC" w14:textId="1B13C9C8" w:rsidR="005E0490" w:rsidRPr="00121841" w:rsidRDefault="005E0490" w:rsidP="00FD44AD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</w:rPr>
              <w:lastRenderedPageBreak/>
              <w:br w:type="page"/>
            </w:r>
            <w:r w:rsidRPr="00121841">
              <w:rPr>
                <w:rFonts w:ascii="Book Antiqua" w:hAnsi="Book Antiqua"/>
              </w:rPr>
              <w:br w:type="page"/>
            </w: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</w:tr>
      <w:tr w:rsidR="005E0490" w:rsidRPr="00121841" w14:paraId="28F2FD01" w14:textId="77777777" w:rsidTr="005E0490">
        <w:trPr>
          <w:cantSplit/>
          <w:trHeight w:val="285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22EF6A4" w14:textId="77777777" w:rsidR="005E0490" w:rsidRPr="00121841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0032F2A3" w14:textId="42D2A2BD" w:rsidR="005E0490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25B9FE09" w14:textId="77777777" w:rsidR="005E0490" w:rsidRPr="00121841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3D930419" w14:textId="77777777" w:rsidR="005E0490" w:rsidRPr="00B16AD9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B9531CB" w14:textId="77777777" w:rsidR="005E0490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29B08270" w14:textId="77777777" w:rsidR="005E0490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0EFA0734" w14:textId="25A44324" w:rsidR="005E0490" w:rsidRPr="00121841" w:rsidRDefault="005E0490" w:rsidP="005E049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4AD044A9" w14:textId="77777777" w:rsidR="005C0FF9" w:rsidRPr="00121841" w:rsidRDefault="005C0FF9" w:rsidP="005C0FF9">
      <w:pPr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5C0FF9" w:rsidRPr="00121841" w14:paraId="10C3E08A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6DADE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5D673776" w14:textId="4D65909C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CC730F">
              <w:rPr>
                <w:rFonts w:ascii="Book Antiqua" w:hAnsi="Book Antiqua"/>
                <w:b/>
                <w:snapToGrid w:val="0"/>
              </w:rPr>
              <w:t>u</w:t>
            </w:r>
            <w:r w:rsidRPr="00121841"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BC78847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31A7F9FA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9D251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565281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2D2F0A90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DC0DE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4CBE58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6C81A753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512EE" w14:textId="110A2622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3DA3D50E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315473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1582E0AA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D1C67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3781FF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4AD79C4F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1A91B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F1585C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0814FEC0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46933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 w:rsidRPr="00121841"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94B5F2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4E85F7BB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DCCB7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234E76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  <w:tr w:rsidR="005C0FF9" w:rsidRPr="00121841" w14:paraId="3BCE0AC0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DAC4F" w14:textId="77777777" w:rsidR="005C0FF9" w:rsidRPr="00121841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481156" w14:textId="77777777" w:rsidR="005C0FF9" w:rsidRPr="00121841" w:rsidRDefault="005C0FF9" w:rsidP="00FD44AD">
            <w:pPr>
              <w:widowControl w:val="0"/>
              <w:jc w:val="center"/>
              <w:rPr>
                <w:rFonts w:ascii="Book Antiqua" w:hAnsi="Book Antiqua"/>
                <w:snapToGrid w:val="0"/>
              </w:rPr>
            </w:pPr>
          </w:p>
        </w:tc>
      </w:tr>
    </w:tbl>
    <w:p w14:paraId="2EEA30B1" w14:textId="3F459B6C" w:rsidR="005C0FF9" w:rsidRDefault="005C0FF9">
      <w:pPr>
        <w:spacing w:after="200" w:line="276" w:lineRule="auto"/>
        <w:rPr>
          <w:rFonts w:ascii="Book Antiqua" w:hAnsi="Book Antiqua"/>
        </w:rPr>
      </w:pPr>
    </w:p>
    <w:p w14:paraId="6C684EA1" w14:textId="789D72DE" w:rsidR="00CC730F" w:rsidRDefault="00CC730F">
      <w:pPr>
        <w:spacing w:after="200" w:line="276" w:lineRule="auto"/>
        <w:rPr>
          <w:rFonts w:ascii="Book Antiqua" w:hAnsi="Book Antiqua"/>
        </w:rPr>
      </w:pPr>
    </w:p>
    <w:p w14:paraId="4B4C9C91" w14:textId="551F527F" w:rsidR="00CC730F" w:rsidRDefault="00CC730F">
      <w:pPr>
        <w:spacing w:after="200" w:line="276" w:lineRule="auto"/>
        <w:rPr>
          <w:rFonts w:ascii="Book Antiqua" w:hAnsi="Book Antiqua"/>
        </w:rPr>
      </w:pPr>
    </w:p>
    <w:p w14:paraId="2DACBA97" w14:textId="567EEE46" w:rsidR="00CC730F" w:rsidRDefault="00CC730F">
      <w:pPr>
        <w:spacing w:after="200" w:line="276" w:lineRule="auto"/>
        <w:rPr>
          <w:rFonts w:ascii="Book Antiqua" w:hAnsi="Book Antiqua"/>
        </w:rPr>
      </w:pPr>
    </w:p>
    <w:p w14:paraId="5E87CED7" w14:textId="1B16FF06" w:rsidR="00CC730F" w:rsidRDefault="00CC730F">
      <w:pPr>
        <w:spacing w:after="200" w:line="276" w:lineRule="auto"/>
        <w:rPr>
          <w:rFonts w:ascii="Book Antiqua" w:hAnsi="Book Antiqua"/>
        </w:rPr>
      </w:pPr>
    </w:p>
    <w:p w14:paraId="5C4258C1" w14:textId="7853BA34" w:rsidR="00CC730F" w:rsidRDefault="00CC730F">
      <w:pPr>
        <w:spacing w:after="200" w:line="276" w:lineRule="auto"/>
        <w:rPr>
          <w:rFonts w:ascii="Book Antiqua" w:hAnsi="Book Antiqua"/>
        </w:rPr>
      </w:pPr>
    </w:p>
    <w:p w14:paraId="3F1B51C7" w14:textId="161D26EC" w:rsidR="00CC730F" w:rsidRDefault="00CC730F">
      <w:pPr>
        <w:spacing w:after="200" w:line="276" w:lineRule="auto"/>
        <w:rPr>
          <w:rFonts w:ascii="Book Antiqua" w:hAnsi="Book Antiqua"/>
        </w:rPr>
      </w:pPr>
    </w:p>
    <w:p w14:paraId="776AE739" w14:textId="5B357E73" w:rsidR="00CC730F" w:rsidRDefault="00CC730F">
      <w:pPr>
        <w:spacing w:after="200" w:line="276" w:lineRule="auto"/>
        <w:rPr>
          <w:rFonts w:ascii="Book Antiqua" w:hAnsi="Book Antiqua"/>
        </w:rPr>
      </w:pPr>
    </w:p>
    <w:p w14:paraId="2E40EEA6" w14:textId="0C102D3A" w:rsidR="00CC730F" w:rsidRDefault="00CC730F">
      <w:pPr>
        <w:spacing w:after="200" w:line="276" w:lineRule="auto"/>
        <w:rPr>
          <w:rFonts w:ascii="Book Antiqua" w:hAnsi="Book Antiqua"/>
        </w:rPr>
      </w:pPr>
    </w:p>
    <w:p w14:paraId="63A3B228" w14:textId="19F68931" w:rsidR="00CC730F" w:rsidRDefault="00CC730F">
      <w:pPr>
        <w:spacing w:after="200" w:line="276" w:lineRule="auto"/>
        <w:rPr>
          <w:rFonts w:ascii="Book Antiqua" w:hAnsi="Book Antiqua"/>
        </w:rPr>
      </w:pPr>
    </w:p>
    <w:p w14:paraId="21F9DC6B" w14:textId="0989B085" w:rsidR="00CC730F" w:rsidRDefault="00CC730F">
      <w:pPr>
        <w:spacing w:after="200" w:line="276" w:lineRule="auto"/>
        <w:rPr>
          <w:rFonts w:ascii="Book Antiqua" w:hAnsi="Book Antiqua"/>
        </w:rPr>
      </w:pPr>
    </w:p>
    <w:p w14:paraId="024581E9" w14:textId="3F9585D6" w:rsidR="00CC730F" w:rsidRDefault="00CC730F">
      <w:pPr>
        <w:spacing w:after="200" w:line="276" w:lineRule="auto"/>
        <w:rPr>
          <w:rFonts w:ascii="Book Antiqua" w:hAnsi="Book Antiqua"/>
        </w:rPr>
      </w:pPr>
    </w:p>
    <w:p w14:paraId="663C3371" w14:textId="2E8E5895" w:rsidR="00CC730F" w:rsidRDefault="00CC730F">
      <w:pPr>
        <w:spacing w:after="200" w:line="276" w:lineRule="auto"/>
        <w:rPr>
          <w:rFonts w:ascii="Book Antiqua" w:hAnsi="Book Antiqua"/>
        </w:rPr>
      </w:pPr>
    </w:p>
    <w:p w14:paraId="25E92080" w14:textId="7B909634" w:rsidR="00CC730F" w:rsidRDefault="00CC730F">
      <w:pPr>
        <w:spacing w:after="200" w:line="276" w:lineRule="auto"/>
        <w:rPr>
          <w:rFonts w:ascii="Book Antiqua" w:hAnsi="Book Antiqua"/>
        </w:rPr>
      </w:pPr>
    </w:p>
    <w:p w14:paraId="74DF4292" w14:textId="61B79E7F" w:rsidR="00CC730F" w:rsidRDefault="00CC730F">
      <w:pPr>
        <w:spacing w:after="200" w:line="276" w:lineRule="auto"/>
        <w:rPr>
          <w:rFonts w:ascii="Book Antiqua" w:hAnsi="Book Antiqua"/>
        </w:rPr>
      </w:pPr>
    </w:p>
    <w:p w14:paraId="5C485EE7" w14:textId="77777777" w:rsidR="005E0490" w:rsidRDefault="005E0490">
      <w:pPr>
        <w:spacing w:after="200" w:line="276" w:lineRule="auto"/>
        <w:rPr>
          <w:rFonts w:ascii="Book Antiqua" w:hAnsi="Book Antiqua"/>
        </w:rPr>
      </w:pPr>
    </w:p>
    <w:p w14:paraId="7915AC4D" w14:textId="77777777" w:rsidR="00CC730F" w:rsidRPr="00121841" w:rsidRDefault="00CC730F">
      <w:pPr>
        <w:spacing w:after="200" w:line="276" w:lineRule="auto"/>
        <w:rPr>
          <w:rFonts w:ascii="Book Antiqua" w:hAnsi="Book Antiqua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2443E" w:rsidRPr="00121841" w14:paraId="0B435E9B" w14:textId="77777777" w:rsidTr="0050139B">
        <w:trPr>
          <w:cantSplit/>
          <w:trHeight w:val="98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5ACE6A" w14:textId="77777777" w:rsidR="0052443E" w:rsidRDefault="0052443E" w:rsidP="00FE1443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lastRenderedPageBreak/>
              <w:t>CHECK LIST</w:t>
            </w:r>
          </w:p>
          <w:p w14:paraId="496037A4" w14:textId="4235788E" w:rsidR="0052443E" w:rsidRPr="002C3B21" w:rsidRDefault="0052443E" w:rsidP="006254C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“</w:t>
            </w:r>
            <w:r w:rsidRP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CASSA e AGENTI CONTABILI</w:t>
            </w:r>
            <w:r w:rsidR="00121841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”</w:t>
            </w:r>
          </w:p>
        </w:tc>
      </w:tr>
      <w:tr w:rsidR="0052443E" w:rsidRPr="00013082" w14:paraId="02A55836" w14:textId="77777777" w:rsidTr="005C0FF9">
        <w:trPr>
          <w:cantSplit/>
          <w:trHeight w:val="46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3291137C" w14:textId="77777777" w:rsidR="0052443E" w:rsidRPr="00121841" w:rsidRDefault="0052443E" w:rsidP="00121841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PARTE TERZA: ANTICIPAZIONI DI TESORERIA </w:t>
            </w:r>
          </w:p>
        </w:tc>
      </w:tr>
      <w:tr w:rsidR="00A24B44" w:rsidRPr="00013082" w14:paraId="15AA4EC3" w14:textId="77777777" w:rsidTr="0050139B">
        <w:trPr>
          <w:cantSplit/>
          <w:trHeight w:val="36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62D80E52" w14:textId="36A1EAA9" w:rsidR="00121841" w:rsidRPr="00121841" w:rsidRDefault="0071134D" w:rsidP="0050139B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Punto 5.3.4</w:t>
            </w:r>
            <w:r w:rsidR="00A24B44"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. PVC n. </w:t>
            </w:r>
            <w:r w:rsidRPr="00121841">
              <w:rPr>
                <w:rFonts w:ascii="Book Antiqua" w:hAnsi="Book Antiqua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CC730F" w:rsidRPr="003272B0" w14:paraId="1C61A341" w14:textId="77777777" w:rsidTr="0050139B">
        <w:trPr>
          <w:cantSplit/>
          <w:trHeight w:val="1189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74C8DFA" w14:textId="43765954" w:rsidR="00CC730F" w:rsidRPr="008F5865" w:rsidRDefault="00CC730F" w:rsidP="00CC730F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902477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5EEF999E" w14:textId="77777777" w:rsidR="00CC730F" w:rsidRPr="008F5865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28E52E86" w14:textId="77777777" w:rsidR="00CC730F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7B368246" w14:textId="77777777" w:rsidR="00CC730F" w:rsidRDefault="00CC730F" w:rsidP="00CC73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0AD4AF9C" w14:textId="77777777" w:rsidR="00CC730F" w:rsidRDefault="00CC730F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52443E" w:rsidRPr="003272B0" w14:paraId="1EDADE3F" w14:textId="77777777" w:rsidTr="00FE1443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19C42B1" w14:textId="77777777" w:rsidR="0052443E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2B74E74" w14:textId="77777777" w:rsidR="0052443E" w:rsidRPr="00E56E02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497CEC" w14:textId="77777777" w:rsidR="0052443E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74A6032" w14:textId="77777777" w:rsidR="0052443E" w:rsidRPr="00E56E02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593EBF" w14:textId="77777777" w:rsidR="0052443E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9C90465" w14:textId="77777777" w:rsidR="0052443E" w:rsidRPr="00E56E02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BA7CD1" w14:textId="77777777" w:rsidR="0052443E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0534DDF" w14:textId="02D3867D" w:rsidR="00CC730F" w:rsidRPr="00E56E02" w:rsidRDefault="0052443E" w:rsidP="00CC730F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6722A3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  <w:p w14:paraId="66DF25B9" w14:textId="539F7C5B" w:rsidR="0052443E" w:rsidRPr="00E56E02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9B70F83" w14:textId="42F89766" w:rsidR="0052443E" w:rsidRPr="00E56E02" w:rsidRDefault="0052443E" w:rsidP="00FE1443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 xml:space="preserve">Descrizione delle procedure svolte e delle evidenze prodotte </w:t>
            </w:r>
            <w:r w:rsidR="00CC730F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–</w:t>
            </w: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 xml:space="preserve"> Commenti</w:t>
            </w:r>
          </w:p>
        </w:tc>
      </w:tr>
      <w:tr w:rsidR="0052443E" w:rsidRPr="001818C5" w14:paraId="3E918FA0" w14:textId="77777777" w:rsidTr="00FE1443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F91" w14:textId="12130BB8" w:rsidR="0052443E" w:rsidRPr="005C0FF9" w:rsidRDefault="0052443E" w:rsidP="005C0FF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C0FF9">
              <w:rPr>
                <w:rFonts w:ascii="Book Antiqua" w:hAnsi="Book Antiqua"/>
                <w:snapToGrid w:val="0"/>
              </w:rPr>
              <w:t>La richiesta di anticipazione di Tesoreria è preceduta da una formale deliberazione di Giunta Comunale dell’Ente che attesti il limite massimo del prestito?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699EDC" w14:textId="77777777" w:rsidR="0052443E" w:rsidRPr="001818C5" w:rsidRDefault="0052443E" w:rsidP="00FE1443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27F3" w14:textId="77777777" w:rsidR="0052443E" w:rsidRPr="001818C5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80CD" w14:textId="77777777" w:rsidR="0052443E" w:rsidRPr="001818C5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050D" w14:textId="77777777" w:rsidR="0052443E" w:rsidRPr="001818C5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2443E" w14:paraId="4A191EDB" w14:textId="77777777" w:rsidTr="00FE1443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709" w14:textId="4A38E753" w:rsidR="0052443E" w:rsidRPr="005C0FF9" w:rsidRDefault="0052443E" w:rsidP="001441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C0FF9">
              <w:rPr>
                <w:rFonts w:ascii="Book Antiqua" w:hAnsi="Book Antiqua"/>
                <w:snapToGrid w:val="0"/>
              </w:rPr>
              <w:t>Dopo l’approvazione della delibera di G.C., l’utilizzo dell’anticipazione di Tesoreria è avvenut</w:t>
            </w:r>
            <w:r w:rsidR="0050139B">
              <w:rPr>
                <w:rFonts w:ascii="Book Antiqua" w:hAnsi="Book Antiqua"/>
                <w:snapToGrid w:val="0"/>
              </w:rPr>
              <w:t>o</w:t>
            </w:r>
            <w:r w:rsidRPr="005C0FF9">
              <w:rPr>
                <w:rFonts w:ascii="Book Antiqua" w:hAnsi="Book Antiqua"/>
                <w:snapToGrid w:val="0"/>
              </w:rPr>
              <w:t xml:space="preserve"> su richiesta del Responsabile del Servizio Finanziario secondo le modalità indicate nel Regolamento di contabilità o dalla convenzione di Tesoreria di cui all’art. 210 </w:t>
            </w:r>
            <w:r w:rsidR="0014410D">
              <w:rPr>
                <w:rFonts w:ascii="Book Antiqua" w:hAnsi="Book Antiqua"/>
                <w:snapToGrid w:val="0"/>
              </w:rPr>
              <w:t>Tuel</w:t>
            </w:r>
            <w:r w:rsidRPr="005C0FF9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A346" w14:textId="77777777" w:rsidR="0052443E" w:rsidRDefault="0052443E" w:rsidP="00FE1443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89C7" w14:textId="77777777" w:rsidR="0052443E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467F" w14:textId="77777777" w:rsidR="0052443E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609C" w14:textId="77777777" w:rsidR="0052443E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2443E" w:rsidRPr="00FC4811" w14:paraId="5A9397FF" w14:textId="77777777" w:rsidTr="00CC730F">
        <w:trPr>
          <w:trHeight w:val="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19DC3" w14:textId="77777777" w:rsidR="0052443E" w:rsidRPr="005C0FF9" w:rsidRDefault="0011235C" w:rsidP="005C0FF9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C0FF9">
              <w:rPr>
                <w:rFonts w:ascii="Book Antiqua" w:hAnsi="Book Antiqua"/>
                <w:snapToGrid w:val="0"/>
              </w:rPr>
              <w:t>L’Ente, alla data del 31</w:t>
            </w:r>
            <w:r w:rsidR="005C0FF9" w:rsidRPr="005C0FF9">
              <w:rPr>
                <w:rFonts w:ascii="Book Antiqua" w:hAnsi="Book Antiqua"/>
                <w:snapToGrid w:val="0"/>
              </w:rPr>
              <w:t xml:space="preserve"> </w:t>
            </w:r>
            <w:r w:rsidRPr="005C0FF9">
              <w:rPr>
                <w:rFonts w:ascii="Book Antiqua" w:hAnsi="Book Antiqua"/>
                <w:snapToGrid w:val="0"/>
              </w:rPr>
              <w:t>dicembre di ciascun esercizio, ha provveduto a verificare che l’ammontare delle entrate accertate e riscosse derivanti da anticipazione di tesoreria sono corrispondenti all’ammontare delle spese impegnate e pagate per la chiusura delle stesse?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E1263" w14:textId="77777777" w:rsidR="0052443E" w:rsidRPr="00FC4811" w:rsidRDefault="0052443E" w:rsidP="00FE1443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443EC" w14:textId="77777777" w:rsidR="0052443E" w:rsidRPr="00FC4811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E740D" w14:textId="77777777" w:rsidR="0052443E" w:rsidRPr="00FC4811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6DCDC" w14:textId="77777777" w:rsidR="0052443E" w:rsidRPr="00FC4811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2443E" w:rsidRPr="00574869" w14:paraId="3B3002A5" w14:textId="77777777" w:rsidTr="00CC730F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4B1" w14:textId="040F4481" w:rsidR="0052443E" w:rsidRPr="005C0FF9" w:rsidRDefault="0011235C" w:rsidP="0011235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5C0FF9">
              <w:rPr>
                <w:rFonts w:ascii="Book Antiqua" w:hAnsi="Book Antiqua"/>
                <w:snapToGrid w:val="0"/>
              </w:rPr>
              <w:t>L’Ente, nel caso in cui l’anticipazione di Tesoreria non è stata chiusa al 31 dicembre, ha provveduto alla registrazione dell’impegno e al corrispondente residuo passivo per la restituzione al Tesoriere</w:t>
            </w:r>
            <w:r w:rsidR="005C0FF9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916" w14:textId="77777777" w:rsidR="0052443E" w:rsidRPr="00574869" w:rsidRDefault="0052443E" w:rsidP="00FE1443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24B" w14:textId="77777777" w:rsidR="0052443E" w:rsidRPr="00574869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DCB" w14:textId="77777777" w:rsidR="0052443E" w:rsidRPr="00574869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794" w14:textId="77777777" w:rsidR="0052443E" w:rsidRPr="00574869" w:rsidRDefault="0052443E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CC730F" w:rsidRPr="00574869" w14:paraId="497871DB" w14:textId="77777777" w:rsidTr="00D56A40">
        <w:trPr>
          <w:cantSplit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2B49BBC8" w14:textId="77777777" w:rsidR="00CC730F" w:rsidRDefault="00CC730F" w:rsidP="0011235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0D04A38" w14:textId="4C9D5F65" w:rsidR="00CC730F" w:rsidRPr="005C0FF9" w:rsidRDefault="00CC730F" w:rsidP="0011235C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BC1FBC" w14:textId="77777777" w:rsidR="00CC730F" w:rsidRPr="00574869" w:rsidRDefault="00CC730F" w:rsidP="00FE1443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1A3D86" w14:textId="77777777" w:rsidR="00CC730F" w:rsidRPr="00574869" w:rsidRDefault="00CC730F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B7096F" w14:textId="77777777" w:rsidR="00CC730F" w:rsidRPr="00574869" w:rsidRDefault="00CC730F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EF1B34D" w14:textId="77777777" w:rsidR="00CC730F" w:rsidRPr="00574869" w:rsidRDefault="00CC730F" w:rsidP="00FE1443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E0490" w:rsidRPr="00F97FDB" w14:paraId="67E8F570" w14:textId="77777777" w:rsidTr="00D56A40">
        <w:trPr>
          <w:cantSplit/>
          <w:trHeight w:val="293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1FF" w14:textId="77777777" w:rsidR="005E0490" w:rsidRPr="00F97FDB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</w:rPr>
              <w:br w:type="page"/>
            </w:r>
            <w:r w:rsidRPr="00121841">
              <w:rPr>
                <w:rFonts w:ascii="Book Antiqua" w:hAnsi="Book Antiqua"/>
              </w:rPr>
              <w:br w:type="page"/>
            </w: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753DE756" w14:textId="77777777" w:rsidR="005E0490" w:rsidRPr="00121841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62E0B4D1" w14:textId="10964210" w:rsidR="005E0490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24CC18AB" w14:textId="77777777" w:rsidR="005E0490" w:rsidRPr="00F97FDB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185A963" w14:textId="77777777" w:rsidR="005E0490" w:rsidRPr="00B16AD9" w:rsidRDefault="005E0490" w:rsidP="00CC730F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0050C638" w14:textId="77777777" w:rsidR="005E0490" w:rsidRDefault="005E0490" w:rsidP="005E049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2B9A6057" w14:textId="77777777" w:rsidR="005E0490" w:rsidRDefault="005E0490" w:rsidP="005E049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745E7CDC" w14:textId="35D0F02B" w:rsidR="005E0490" w:rsidRPr="00F97FDB" w:rsidRDefault="005E0490" w:rsidP="005E049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4CD3A08" w14:textId="77777777" w:rsidR="00CC730F" w:rsidRDefault="00CC730F" w:rsidP="005C0FF9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5C0FF9" w:rsidRPr="00574869" w14:paraId="7511BD94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C5C34" w14:textId="77777777" w:rsidR="005C0FF9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50A026B" w14:textId="0C7829C1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4F03D0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0BA04E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21C7BADE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2D086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2684F7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46D17603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8A6E7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078DA4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1C75A08E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93C16" w14:textId="58C3CB2C" w:rsidR="005C0FF9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33730085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E7B0C7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5110543A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D2E64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09A51F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159D30C2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C1739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93E3F7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102A3188" w14:textId="77777777" w:rsidTr="00FD44AD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43487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4005C6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C0FF9" w:rsidRPr="00574869" w14:paraId="15BB5CC9" w14:textId="77777777" w:rsidTr="00FD44AD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AF584" w14:textId="77777777" w:rsidR="005C0FF9" w:rsidRPr="00ED383F" w:rsidRDefault="005C0FF9" w:rsidP="00FD44AD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699664" w14:textId="77777777" w:rsidR="005C0FF9" w:rsidRPr="00574869" w:rsidRDefault="005C0FF9" w:rsidP="00FD44A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5A42123D" w14:textId="00384B2F" w:rsidR="0052443E" w:rsidRDefault="0052443E" w:rsidP="0050139B">
      <w:pPr>
        <w:spacing w:before="100" w:beforeAutospacing="1" w:after="100" w:afterAutospacing="1" w:line="360" w:lineRule="auto"/>
        <w:jc w:val="center"/>
        <w:rPr>
          <w:rFonts w:eastAsia="MS Mincho"/>
          <w:sz w:val="22"/>
        </w:rPr>
      </w:pPr>
    </w:p>
    <w:sectPr w:rsidR="0052443E" w:rsidSect="001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0C2F" w14:textId="77777777" w:rsidR="00DD4540" w:rsidRDefault="00DD4540" w:rsidP="004F03D0">
      <w:r>
        <w:separator/>
      </w:r>
    </w:p>
  </w:endnote>
  <w:endnote w:type="continuationSeparator" w:id="0">
    <w:p w14:paraId="6941D0A9" w14:textId="77777777" w:rsidR="00DD4540" w:rsidRDefault="00DD4540" w:rsidP="004F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EC55" w14:textId="77777777" w:rsidR="004F03D0" w:rsidRDefault="004F0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66B0" w14:textId="77777777" w:rsidR="004F03D0" w:rsidRDefault="004F03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D0B2" w14:textId="77777777" w:rsidR="004F03D0" w:rsidRDefault="004F0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CB72" w14:textId="77777777" w:rsidR="00DD4540" w:rsidRDefault="00DD4540" w:rsidP="004F03D0">
      <w:r>
        <w:separator/>
      </w:r>
    </w:p>
  </w:footnote>
  <w:footnote w:type="continuationSeparator" w:id="0">
    <w:p w14:paraId="389A716D" w14:textId="77777777" w:rsidR="00DD4540" w:rsidRDefault="00DD4540" w:rsidP="004F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395B" w14:textId="77777777" w:rsidR="004F03D0" w:rsidRDefault="004F03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0451106"/>
      <w:docPartObj>
        <w:docPartGallery w:val="Watermarks"/>
        <w:docPartUnique/>
      </w:docPartObj>
    </w:sdtPr>
    <w:sdtEndPr/>
    <w:sdtContent>
      <w:p w14:paraId="407F5039" w14:textId="2C9847BE" w:rsidR="004F03D0" w:rsidRDefault="00DD4540">
        <w:pPr>
          <w:pStyle w:val="Intestazione"/>
        </w:pPr>
        <w:r>
          <w:pict w14:anchorId="75A38E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33D2" w14:textId="77777777" w:rsidR="004F03D0" w:rsidRDefault="004F03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D42CD"/>
    <w:multiLevelType w:val="hybridMultilevel"/>
    <w:tmpl w:val="2A101B28"/>
    <w:lvl w:ilvl="0" w:tplc="FBC6A1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C65"/>
    <w:multiLevelType w:val="hybridMultilevel"/>
    <w:tmpl w:val="5ACE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6795E"/>
    <w:multiLevelType w:val="hybridMultilevel"/>
    <w:tmpl w:val="3CEEF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2B40"/>
    <w:multiLevelType w:val="hybridMultilevel"/>
    <w:tmpl w:val="789EA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301C"/>
    <w:multiLevelType w:val="hybridMultilevel"/>
    <w:tmpl w:val="789EA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0E5112"/>
    <w:multiLevelType w:val="hybridMultilevel"/>
    <w:tmpl w:val="5ACEFF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816BA"/>
    <w:multiLevelType w:val="hybridMultilevel"/>
    <w:tmpl w:val="789EA5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24"/>
  </w:num>
  <w:num w:numId="5">
    <w:abstractNumId w:val="26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15"/>
  </w:num>
  <w:num w:numId="11">
    <w:abstractNumId w:val="18"/>
  </w:num>
  <w:num w:numId="12">
    <w:abstractNumId w:val="7"/>
  </w:num>
  <w:num w:numId="13">
    <w:abstractNumId w:val="3"/>
  </w:num>
  <w:num w:numId="14">
    <w:abstractNumId w:val="27"/>
  </w:num>
  <w:num w:numId="15">
    <w:abstractNumId w:val="4"/>
  </w:num>
  <w:num w:numId="16">
    <w:abstractNumId w:val="32"/>
  </w:num>
  <w:num w:numId="17">
    <w:abstractNumId w:val="17"/>
  </w:num>
  <w:num w:numId="18">
    <w:abstractNumId w:val="11"/>
  </w:num>
  <w:num w:numId="19">
    <w:abstractNumId w:val="21"/>
  </w:num>
  <w:num w:numId="20">
    <w:abstractNumId w:val="2"/>
  </w:num>
  <w:num w:numId="21">
    <w:abstractNumId w:val="30"/>
  </w:num>
  <w:num w:numId="22">
    <w:abstractNumId w:val="22"/>
  </w:num>
  <w:num w:numId="23">
    <w:abstractNumId w:val="31"/>
  </w:num>
  <w:num w:numId="24">
    <w:abstractNumId w:val="6"/>
  </w:num>
  <w:num w:numId="25">
    <w:abstractNumId w:val="8"/>
  </w:num>
  <w:num w:numId="26">
    <w:abstractNumId w:val="19"/>
  </w:num>
  <w:num w:numId="27">
    <w:abstractNumId w:val="20"/>
  </w:num>
  <w:num w:numId="28">
    <w:abstractNumId w:val="29"/>
  </w:num>
  <w:num w:numId="29">
    <w:abstractNumId w:val="14"/>
  </w:num>
  <w:num w:numId="30">
    <w:abstractNumId w:val="13"/>
  </w:num>
  <w:num w:numId="31">
    <w:abstractNumId w:val="5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733"/>
    <w:rsid w:val="00013082"/>
    <w:rsid w:val="000146DC"/>
    <w:rsid w:val="000663C3"/>
    <w:rsid w:val="00097176"/>
    <w:rsid w:val="000A7F37"/>
    <w:rsid w:val="000B1C23"/>
    <w:rsid w:val="000B3AB7"/>
    <w:rsid w:val="000B4ED9"/>
    <w:rsid w:val="000C4064"/>
    <w:rsid w:val="00104E8C"/>
    <w:rsid w:val="0010705A"/>
    <w:rsid w:val="0011235C"/>
    <w:rsid w:val="00121841"/>
    <w:rsid w:val="00135207"/>
    <w:rsid w:val="0014410D"/>
    <w:rsid w:val="001705C1"/>
    <w:rsid w:val="00191A68"/>
    <w:rsid w:val="0019200E"/>
    <w:rsid w:val="001D0CFC"/>
    <w:rsid w:val="00200E5D"/>
    <w:rsid w:val="00227EFB"/>
    <w:rsid w:val="002472C6"/>
    <w:rsid w:val="00270149"/>
    <w:rsid w:val="0029654C"/>
    <w:rsid w:val="002B3C58"/>
    <w:rsid w:val="002C0D50"/>
    <w:rsid w:val="002C3B21"/>
    <w:rsid w:val="002D2841"/>
    <w:rsid w:val="002E02AE"/>
    <w:rsid w:val="003017BE"/>
    <w:rsid w:val="00304CB9"/>
    <w:rsid w:val="003120C4"/>
    <w:rsid w:val="00321C6B"/>
    <w:rsid w:val="00345CF7"/>
    <w:rsid w:val="00346A39"/>
    <w:rsid w:val="00350767"/>
    <w:rsid w:val="00364B15"/>
    <w:rsid w:val="00381414"/>
    <w:rsid w:val="00393532"/>
    <w:rsid w:val="003F1B65"/>
    <w:rsid w:val="00402977"/>
    <w:rsid w:val="00473E75"/>
    <w:rsid w:val="004F03D0"/>
    <w:rsid w:val="004F6DC1"/>
    <w:rsid w:val="0050139B"/>
    <w:rsid w:val="00514CB5"/>
    <w:rsid w:val="0052443E"/>
    <w:rsid w:val="005812CD"/>
    <w:rsid w:val="005C0FF9"/>
    <w:rsid w:val="005E0490"/>
    <w:rsid w:val="005E08A9"/>
    <w:rsid w:val="005E681F"/>
    <w:rsid w:val="005F1CA1"/>
    <w:rsid w:val="0061389E"/>
    <w:rsid w:val="006254C1"/>
    <w:rsid w:val="00652BD1"/>
    <w:rsid w:val="00657F77"/>
    <w:rsid w:val="006722A3"/>
    <w:rsid w:val="006B6ECF"/>
    <w:rsid w:val="006C4A6B"/>
    <w:rsid w:val="006C521D"/>
    <w:rsid w:val="0071134D"/>
    <w:rsid w:val="00725D13"/>
    <w:rsid w:val="00740D40"/>
    <w:rsid w:val="007851CC"/>
    <w:rsid w:val="007A1CEA"/>
    <w:rsid w:val="007B185B"/>
    <w:rsid w:val="007B5226"/>
    <w:rsid w:val="007F02E7"/>
    <w:rsid w:val="00800240"/>
    <w:rsid w:val="008555C5"/>
    <w:rsid w:val="00864F79"/>
    <w:rsid w:val="0087468C"/>
    <w:rsid w:val="008A08EB"/>
    <w:rsid w:val="008B3454"/>
    <w:rsid w:val="008D3CC7"/>
    <w:rsid w:val="008F0B18"/>
    <w:rsid w:val="00902477"/>
    <w:rsid w:val="0090261E"/>
    <w:rsid w:val="00903BE4"/>
    <w:rsid w:val="00905468"/>
    <w:rsid w:val="00950B80"/>
    <w:rsid w:val="00967868"/>
    <w:rsid w:val="00981C84"/>
    <w:rsid w:val="009858EE"/>
    <w:rsid w:val="00987BAC"/>
    <w:rsid w:val="009C333A"/>
    <w:rsid w:val="009D772A"/>
    <w:rsid w:val="00A17C3E"/>
    <w:rsid w:val="00A24B44"/>
    <w:rsid w:val="00A8547D"/>
    <w:rsid w:val="00AC2AF5"/>
    <w:rsid w:val="00AC732C"/>
    <w:rsid w:val="00B16AD9"/>
    <w:rsid w:val="00B22885"/>
    <w:rsid w:val="00B30D36"/>
    <w:rsid w:val="00B65578"/>
    <w:rsid w:val="00B76D21"/>
    <w:rsid w:val="00B8307D"/>
    <w:rsid w:val="00BA3DC4"/>
    <w:rsid w:val="00BE0630"/>
    <w:rsid w:val="00C33197"/>
    <w:rsid w:val="00C34E86"/>
    <w:rsid w:val="00C36ABD"/>
    <w:rsid w:val="00C923B8"/>
    <w:rsid w:val="00C9567A"/>
    <w:rsid w:val="00CC730F"/>
    <w:rsid w:val="00D33272"/>
    <w:rsid w:val="00D50BA1"/>
    <w:rsid w:val="00D56A40"/>
    <w:rsid w:val="00D61A22"/>
    <w:rsid w:val="00D77708"/>
    <w:rsid w:val="00DA6C6D"/>
    <w:rsid w:val="00DD4540"/>
    <w:rsid w:val="00E15E90"/>
    <w:rsid w:val="00E17FE6"/>
    <w:rsid w:val="00E25429"/>
    <w:rsid w:val="00E431BC"/>
    <w:rsid w:val="00E56E02"/>
    <w:rsid w:val="00EA47E1"/>
    <w:rsid w:val="00EA5C69"/>
    <w:rsid w:val="00EC7D1E"/>
    <w:rsid w:val="00ED383F"/>
    <w:rsid w:val="00ED6044"/>
    <w:rsid w:val="00EE07C3"/>
    <w:rsid w:val="00F010D8"/>
    <w:rsid w:val="00F15031"/>
    <w:rsid w:val="00F20D84"/>
    <w:rsid w:val="00F337C5"/>
    <w:rsid w:val="00F34111"/>
    <w:rsid w:val="00F360F4"/>
    <w:rsid w:val="00F41169"/>
    <w:rsid w:val="00F41CC3"/>
    <w:rsid w:val="00F720EC"/>
    <w:rsid w:val="00F8644E"/>
    <w:rsid w:val="00F872D3"/>
    <w:rsid w:val="00FD0DBE"/>
    <w:rsid w:val="00FF4BF1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041F3"/>
  <w15:docId w15:val="{DAFCA8F5-18E0-4498-8D79-158E854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097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F0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3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0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3D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AFF3-A771-4AB3-A99B-71B205F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20</cp:revision>
  <cp:lastPrinted>2020-01-30T11:49:00Z</cp:lastPrinted>
  <dcterms:created xsi:type="dcterms:W3CDTF">2020-01-29T05:12:00Z</dcterms:created>
  <dcterms:modified xsi:type="dcterms:W3CDTF">2020-06-09T15:45:00Z</dcterms:modified>
</cp:coreProperties>
</file>