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3822B" w14:textId="77777777" w:rsidR="00461769" w:rsidRPr="006A7674" w:rsidRDefault="00461769" w:rsidP="006A7674">
      <w:pPr>
        <w:spacing w:after="80" w:line="288" w:lineRule="auto"/>
        <w:jc w:val="center"/>
        <w:rPr>
          <w:rFonts w:ascii="Bookman Old Style" w:hAnsi="Bookman Old Style"/>
          <w:b/>
        </w:rPr>
      </w:pPr>
      <w:bookmarkStart w:id="0" w:name="_GoBack"/>
      <w:bookmarkEnd w:id="0"/>
    </w:p>
    <w:p w14:paraId="71B58E4D" w14:textId="283E8156" w:rsidR="006F52E3" w:rsidRPr="006A7674" w:rsidRDefault="006F52E3" w:rsidP="006A7674">
      <w:pPr>
        <w:spacing w:after="80" w:line="288" w:lineRule="auto"/>
        <w:jc w:val="center"/>
        <w:rPr>
          <w:rFonts w:ascii="Bookman Old Style" w:hAnsi="Bookman Old Style"/>
          <w:b/>
        </w:rPr>
      </w:pPr>
      <w:r w:rsidRPr="006A7674">
        <w:rPr>
          <w:rFonts w:ascii="Bookman Old Style" w:hAnsi="Bookman Old Style"/>
          <w:b/>
        </w:rPr>
        <w:t xml:space="preserve">Comune di </w:t>
      </w:r>
      <w:r w:rsidR="00980667">
        <w:rPr>
          <w:rFonts w:ascii="Bookman Old Style" w:hAnsi="Bookman Old Style"/>
          <w:b/>
        </w:rPr>
        <w:t>………..</w:t>
      </w:r>
    </w:p>
    <w:p w14:paraId="5D211948" w14:textId="77777777" w:rsidR="006F52E3" w:rsidRPr="006A7674" w:rsidRDefault="006F52E3" w:rsidP="006A7674">
      <w:pPr>
        <w:pStyle w:val="testo"/>
        <w:spacing w:after="80" w:line="288" w:lineRule="auto"/>
        <w:rPr>
          <w:rFonts w:ascii="Bookman Old Style" w:hAnsi="Bookman Old Style"/>
          <w:spacing w:val="4"/>
          <w:sz w:val="22"/>
          <w:szCs w:val="22"/>
        </w:rPr>
      </w:pPr>
    </w:p>
    <w:p w14:paraId="59D3BBFE" w14:textId="77777777" w:rsidR="006F52E3" w:rsidRPr="006A7674" w:rsidRDefault="006F52E3" w:rsidP="006A7674">
      <w:pPr>
        <w:pStyle w:val="testo"/>
        <w:spacing w:after="80" w:line="288" w:lineRule="auto"/>
        <w:rPr>
          <w:rFonts w:ascii="Bookman Old Style" w:hAnsi="Bookman Old Style"/>
          <w:spacing w:val="4"/>
          <w:sz w:val="22"/>
          <w:szCs w:val="22"/>
        </w:rPr>
      </w:pPr>
    </w:p>
    <w:p w14:paraId="2ADFDB23" w14:textId="77777777" w:rsidR="006F52E3" w:rsidRPr="006A7674" w:rsidRDefault="006F52E3" w:rsidP="006A7674">
      <w:pPr>
        <w:pStyle w:val="testo"/>
        <w:spacing w:after="80" w:line="288" w:lineRule="auto"/>
        <w:rPr>
          <w:rFonts w:ascii="Bookman Old Style" w:hAnsi="Bookman Old Style"/>
          <w:spacing w:val="4"/>
          <w:sz w:val="22"/>
          <w:szCs w:val="22"/>
        </w:rPr>
      </w:pPr>
    </w:p>
    <w:p w14:paraId="68E69BB7" w14:textId="77777777" w:rsidR="006F52E3" w:rsidRPr="006A7674" w:rsidRDefault="006F52E3" w:rsidP="006A7674">
      <w:pPr>
        <w:pStyle w:val="testo"/>
        <w:spacing w:after="80" w:line="288" w:lineRule="auto"/>
        <w:rPr>
          <w:rFonts w:ascii="Bookman Old Style" w:hAnsi="Bookman Old Style"/>
          <w:spacing w:val="4"/>
          <w:sz w:val="22"/>
          <w:szCs w:val="22"/>
        </w:rPr>
      </w:pPr>
    </w:p>
    <w:p w14:paraId="71F098B0" w14:textId="77777777" w:rsidR="006F52E3" w:rsidRPr="006A7674" w:rsidRDefault="006F52E3" w:rsidP="006A7674">
      <w:pPr>
        <w:pStyle w:val="testo"/>
        <w:spacing w:after="80" w:line="288" w:lineRule="auto"/>
        <w:rPr>
          <w:rFonts w:ascii="Bookman Old Style" w:hAnsi="Bookman Old Style"/>
          <w:color w:val="323E4F" w:themeColor="text2" w:themeShade="BF"/>
          <w:spacing w:val="4"/>
          <w:sz w:val="22"/>
          <w:szCs w:val="22"/>
        </w:rPr>
      </w:pPr>
    </w:p>
    <w:p w14:paraId="361E96A4" w14:textId="77777777" w:rsidR="006F52E3" w:rsidRPr="006A7674" w:rsidRDefault="006F52E3" w:rsidP="006A7674">
      <w:pPr>
        <w:pStyle w:val="testo"/>
        <w:spacing w:after="80" w:line="288" w:lineRule="auto"/>
        <w:ind w:left="284" w:firstLine="0"/>
        <w:rPr>
          <w:rFonts w:ascii="Bookman Old Style" w:hAnsi="Bookman Old Style"/>
          <w:b/>
          <w:sz w:val="22"/>
          <w:szCs w:val="22"/>
        </w:rPr>
      </w:pPr>
      <w:r w:rsidRPr="006A7674">
        <w:rPr>
          <w:rFonts w:ascii="Bookman Old Style" w:hAnsi="Bookman Old Style"/>
          <w:b/>
          <w:sz w:val="22"/>
          <w:szCs w:val="22"/>
        </w:rPr>
        <w:t>REGOLAMENTO PER LA DEFINIZIONE AGEVOLATA DELLE CONTROVERSIE TRIBUTARIE PENDENTI</w:t>
      </w:r>
    </w:p>
    <w:p w14:paraId="4E85F169" w14:textId="77777777" w:rsidR="006F52E3" w:rsidRPr="006A7674" w:rsidRDefault="006F52E3" w:rsidP="006A7674">
      <w:pPr>
        <w:pStyle w:val="Titolo"/>
        <w:spacing w:after="80" w:line="288" w:lineRule="auto"/>
        <w:rPr>
          <w:rFonts w:ascii="Bookman Old Style" w:hAnsi="Bookman Old Style"/>
          <w:sz w:val="22"/>
          <w:szCs w:val="22"/>
        </w:rPr>
      </w:pPr>
    </w:p>
    <w:p w14:paraId="038B2F33" w14:textId="77777777" w:rsidR="006F52E3" w:rsidRPr="006A7674" w:rsidRDefault="006F52E3" w:rsidP="006A7674">
      <w:pPr>
        <w:spacing w:after="80" w:line="288" w:lineRule="auto"/>
        <w:jc w:val="center"/>
        <w:rPr>
          <w:rFonts w:ascii="Bookman Old Style" w:hAnsi="Bookman Old Style"/>
        </w:rPr>
      </w:pPr>
    </w:p>
    <w:p w14:paraId="0D9E7A24" w14:textId="77777777" w:rsidR="006F52E3" w:rsidRPr="006A7674" w:rsidRDefault="006F52E3" w:rsidP="006A7674">
      <w:pPr>
        <w:spacing w:after="80" w:line="288" w:lineRule="auto"/>
        <w:jc w:val="center"/>
        <w:rPr>
          <w:rFonts w:ascii="Bookman Old Style" w:hAnsi="Bookman Old Style"/>
        </w:rPr>
      </w:pPr>
    </w:p>
    <w:p w14:paraId="13C07CEA" w14:textId="77777777" w:rsidR="006F52E3" w:rsidRPr="006A7674" w:rsidRDefault="006F52E3" w:rsidP="006A7674">
      <w:pPr>
        <w:spacing w:after="80" w:line="288" w:lineRule="auto"/>
        <w:jc w:val="center"/>
        <w:rPr>
          <w:rFonts w:ascii="Bookman Old Style" w:hAnsi="Bookman Old Style"/>
        </w:rPr>
      </w:pPr>
    </w:p>
    <w:p w14:paraId="5A84DB92" w14:textId="77777777" w:rsidR="006F52E3" w:rsidRPr="006A7674" w:rsidRDefault="006F52E3" w:rsidP="006A7674">
      <w:pPr>
        <w:spacing w:after="80" w:line="288" w:lineRule="auto"/>
        <w:jc w:val="center"/>
        <w:rPr>
          <w:rFonts w:ascii="Bookman Old Style" w:hAnsi="Bookman Old Style"/>
        </w:rPr>
      </w:pPr>
    </w:p>
    <w:p w14:paraId="61B25268" w14:textId="43F6363A" w:rsidR="00822AEF" w:rsidRDefault="006F52E3" w:rsidP="0098252B">
      <w:pPr>
        <w:pStyle w:val="Sommario3"/>
        <w:rPr>
          <w:rFonts w:asciiTheme="minorHAnsi" w:eastAsiaTheme="minorEastAsia" w:hAnsiTheme="minorHAnsi" w:cstheme="minorBidi"/>
          <w:noProof/>
        </w:rPr>
      </w:pPr>
      <w:r w:rsidRPr="006A7674">
        <w:rPr>
          <w:rFonts w:ascii="Bookman Old Style" w:hAnsi="Bookman Old Style"/>
        </w:rPr>
        <w:fldChar w:fldCharType="begin"/>
      </w:r>
      <w:r w:rsidRPr="006A7674">
        <w:rPr>
          <w:rFonts w:ascii="Bookman Old Style" w:hAnsi="Bookman Old Style"/>
        </w:rPr>
        <w:instrText xml:space="preserve"> TOC \o "1-3" \h \z \u </w:instrText>
      </w:r>
      <w:r w:rsidRPr="006A7674">
        <w:rPr>
          <w:rFonts w:ascii="Bookman Old Style" w:hAnsi="Bookman Old Style"/>
        </w:rPr>
        <w:fldChar w:fldCharType="separate"/>
      </w:r>
      <w:hyperlink w:anchor="_Toc128489453" w:history="1">
        <w:r w:rsidR="00822AEF" w:rsidRPr="00717865">
          <w:rPr>
            <w:rStyle w:val="Collegamentoipertestuale"/>
            <w:rFonts w:ascii="Bookman Old Style" w:hAnsi="Bookman Old Style"/>
            <w:noProof/>
          </w:rPr>
          <w:t>CAPO I – DISPOSIZIONI GENERALI</w:t>
        </w:r>
        <w:r w:rsidR="00822AEF">
          <w:rPr>
            <w:noProof/>
            <w:webHidden/>
          </w:rPr>
          <w:tab/>
        </w:r>
        <w:r w:rsidR="00822AEF">
          <w:rPr>
            <w:noProof/>
            <w:webHidden/>
          </w:rPr>
          <w:fldChar w:fldCharType="begin"/>
        </w:r>
        <w:r w:rsidR="00822AEF">
          <w:rPr>
            <w:noProof/>
            <w:webHidden/>
          </w:rPr>
          <w:instrText xml:space="preserve"> PAGEREF _Toc128489453 \h </w:instrText>
        </w:r>
        <w:r w:rsidR="00822AEF">
          <w:rPr>
            <w:noProof/>
            <w:webHidden/>
          </w:rPr>
        </w:r>
        <w:r w:rsidR="00822AEF">
          <w:rPr>
            <w:noProof/>
            <w:webHidden/>
          </w:rPr>
          <w:fldChar w:fldCharType="separate"/>
        </w:r>
        <w:r w:rsidR="00980667">
          <w:rPr>
            <w:noProof/>
            <w:webHidden/>
          </w:rPr>
          <w:t>2</w:t>
        </w:r>
        <w:r w:rsidR="00822AEF">
          <w:rPr>
            <w:noProof/>
            <w:webHidden/>
          </w:rPr>
          <w:fldChar w:fldCharType="end"/>
        </w:r>
      </w:hyperlink>
    </w:p>
    <w:p w14:paraId="1110453D" w14:textId="5B803FE9" w:rsidR="00822AEF" w:rsidRDefault="00431454" w:rsidP="0098252B">
      <w:pPr>
        <w:pStyle w:val="Sommario3"/>
        <w:rPr>
          <w:rFonts w:asciiTheme="minorHAnsi" w:eastAsiaTheme="minorEastAsia" w:hAnsiTheme="minorHAnsi" w:cstheme="minorBidi"/>
          <w:noProof/>
        </w:rPr>
      </w:pPr>
      <w:hyperlink w:anchor="_Toc128489454" w:history="1">
        <w:r w:rsidR="00822AEF" w:rsidRPr="00717865">
          <w:rPr>
            <w:rStyle w:val="Collegamentoipertestuale"/>
            <w:rFonts w:ascii="Bookman Old Style" w:hAnsi="Bookman Old Style"/>
            <w:noProof/>
          </w:rPr>
          <w:t>Articolo 1 - Oggetto del Regolamento</w:t>
        </w:r>
        <w:r w:rsidR="00822AEF">
          <w:rPr>
            <w:noProof/>
            <w:webHidden/>
          </w:rPr>
          <w:tab/>
        </w:r>
        <w:r w:rsidR="00822AEF">
          <w:rPr>
            <w:noProof/>
            <w:webHidden/>
          </w:rPr>
          <w:fldChar w:fldCharType="begin"/>
        </w:r>
        <w:r w:rsidR="00822AEF">
          <w:rPr>
            <w:noProof/>
            <w:webHidden/>
          </w:rPr>
          <w:instrText xml:space="preserve"> PAGEREF _Toc128489454 \h </w:instrText>
        </w:r>
        <w:r w:rsidR="00822AEF">
          <w:rPr>
            <w:noProof/>
            <w:webHidden/>
          </w:rPr>
        </w:r>
        <w:r w:rsidR="00822AEF">
          <w:rPr>
            <w:noProof/>
            <w:webHidden/>
          </w:rPr>
          <w:fldChar w:fldCharType="separate"/>
        </w:r>
        <w:r w:rsidR="00980667">
          <w:rPr>
            <w:noProof/>
            <w:webHidden/>
          </w:rPr>
          <w:t>2</w:t>
        </w:r>
        <w:r w:rsidR="00822AEF">
          <w:rPr>
            <w:noProof/>
            <w:webHidden/>
          </w:rPr>
          <w:fldChar w:fldCharType="end"/>
        </w:r>
      </w:hyperlink>
    </w:p>
    <w:p w14:paraId="383CE664" w14:textId="20BE08BF" w:rsidR="00822AEF" w:rsidRDefault="00431454" w:rsidP="0098252B">
      <w:pPr>
        <w:pStyle w:val="Sommario3"/>
        <w:rPr>
          <w:rFonts w:asciiTheme="minorHAnsi" w:eastAsiaTheme="minorEastAsia" w:hAnsiTheme="minorHAnsi" w:cstheme="minorBidi"/>
          <w:noProof/>
        </w:rPr>
      </w:pPr>
      <w:hyperlink w:anchor="_Toc128489455" w:history="1">
        <w:r w:rsidR="00822AEF" w:rsidRPr="00717865">
          <w:rPr>
            <w:rStyle w:val="Collegamentoipertestuale"/>
            <w:rFonts w:ascii="Bookman Old Style" w:hAnsi="Bookman Old Style"/>
            <w:noProof/>
          </w:rPr>
          <w:t>CAPO II – DEFINIZIONE DELLE LITI PENDENTI</w:t>
        </w:r>
        <w:r w:rsidR="00822AEF">
          <w:rPr>
            <w:noProof/>
            <w:webHidden/>
          </w:rPr>
          <w:tab/>
        </w:r>
        <w:r w:rsidR="00822AEF">
          <w:rPr>
            <w:noProof/>
            <w:webHidden/>
          </w:rPr>
          <w:fldChar w:fldCharType="begin"/>
        </w:r>
        <w:r w:rsidR="00822AEF">
          <w:rPr>
            <w:noProof/>
            <w:webHidden/>
          </w:rPr>
          <w:instrText xml:space="preserve"> PAGEREF _Toc128489455 \h </w:instrText>
        </w:r>
        <w:r w:rsidR="00822AEF">
          <w:rPr>
            <w:noProof/>
            <w:webHidden/>
          </w:rPr>
        </w:r>
        <w:r w:rsidR="00822AEF">
          <w:rPr>
            <w:noProof/>
            <w:webHidden/>
          </w:rPr>
          <w:fldChar w:fldCharType="separate"/>
        </w:r>
        <w:r w:rsidR="00980667">
          <w:rPr>
            <w:noProof/>
            <w:webHidden/>
          </w:rPr>
          <w:t>2</w:t>
        </w:r>
        <w:r w:rsidR="00822AEF">
          <w:rPr>
            <w:noProof/>
            <w:webHidden/>
          </w:rPr>
          <w:fldChar w:fldCharType="end"/>
        </w:r>
      </w:hyperlink>
    </w:p>
    <w:p w14:paraId="135F4AC5" w14:textId="62773694" w:rsidR="00822AEF" w:rsidRDefault="00431454" w:rsidP="0098252B">
      <w:pPr>
        <w:pStyle w:val="Sommario3"/>
        <w:rPr>
          <w:rFonts w:asciiTheme="minorHAnsi" w:eastAsiaTheme="minorEastAsia" w:hAnsiTheme="minorHAnsi" w:cstheme="minorBidi"/>
          <w:noProof/>
        </w:rPr>
      </w:pPr>
      <w:hyperlink w:anchor="_Toc128489456" w:history="1">
        <w:r w:rsidR="00822AEF" w:rsidRPr="00717865">
          <w:rPr>
            <w:rStyle w:val="Collegamentoipertestuale"/>
            <w:rFonts w:ascii="Bookman Old Style" w:hAnsi="Bookman Old Style"/>
            <w:noProof/>
          </w:rPr>
          <w:t>Articolo 2 – Oggetto della definizione agevolata</w:t>
        </w:r>
        <w:r w:rsidR="00822AEF">
          <w:rPr>
            <w:noProof/>
            <w:webHidden/>
          </w:rPr>
          <w:tab/>
        </w:r>
        <w:r w:rsidR="00822AEF">
          <w:rPr>
            <w:noProof/>
            <w:webHidden/>
          </w:rPr>
          <w:fldChar w:fldCharType="begin"/>
        </w:r>
        <w:r w:rsidR="00822AEF">
          <w:rPr>
            <w:noProof/>
            <w:webHidden/>
          </w:rPr>
          <w:instrText xml:space="preserve"> PAGEREF _Toc128489456 \h </w:instrText>
        </w:r>
        <w:r w:rsidR="00822AEF">
          <w:rPr>
            <w:noProof/>
            <w:webHidden/>
          </w:rPr>
        </w:r>
        <w:r w:rsidR="00822AEF">
          <w:rPr>
            <w:noProof/>
            <w:webHidden/>
          </w:rPr>
          <w:fldChar w:fldCharType="separate"/>
        </w:r>
        <w:r w:rsidR="00980667">
          <w:rPr>
            <w:noProof/>
            <w:webHidden/>
          </w:rPr>
          <w:t>2</w:t>
        </w:r>
        <w:r w:rsidR="00822AEF">
          <w:rPr>
            <w:noProof/>
            <w:webHidden/>
          </w:rPr>
          <w:fldChar w:fldCharType="end"/>
        </w:r>
      </w:hyperlink>
    </w:p>
    <w:p w14:paraId="49C42322" w14:textId="5DA4E664" w:rsidR="00822AEF" w:rsidRDefault="00431454" w:rsidP="0098252B">
      <w:pPr>
        <w:pStyle w:val="Sommario3"/>
        <w:rPr>
          <w:rFonts w:asciiTheme="minorHAnsi" w:eastAsiaTheme="minorEastAsia" w:hAnsiTheme="minorHAnsi" w:cstheme="minorBidi"/>
          <w:noProof/>
        </w:rPr>
      </w:pPr>
      <w:hyperlink w:anchor="_Toc128489457" w:history="1">
        <w:r w:rsidR="00822AEF" w:rsidRPr="00717865">
          <w:rPr>
            <w:rStyle w:val="Collegamentoipertestuale"/>
            <w:rFonts w:ascii="Bookman Old Style" w:hAnsi="Bookman Old Style"/>
            <w:noProof/>
          </w:rPr>
          <w:t>Articolo 3 – Termini e modalità di presentazione della domanda</w:t>
        </w:r>
        <w:r w:rsidR="00822AEF">
          <w:rPr>
            <w:noProof/>
            <w:webHidden/>
          </w:rPr>
          <w:tab/>
        </w:r>
        <w:r w:rsidR="00822AEF">
          <w:rPr>
            <w:noProof/>
            <w:webHidden/>
          </w:rPr>
          <w:fldChar w:fldCharType="begin"/>
        </w:r>
        <w:r w:rsidR="00822AEF">
          <w:rPr>
            <w:noProof/>
            <w:webHidden/>
          </w:rPr>
          <w:instrText xml:space="preserve"> PAGEREF _Toc128489457 \h </w:instrText>
        </w:r>
        <w:r w:rsidR="00822AEF">
          <w:rPr>
            <w:noProof/>
            <w:webHidden/>
          </w:rPr>
        </w:r>
        <w:r w:rsidR="00822AEF">
          <w:rPr>
            <w:noProof/>
            <w:webHidden/>
          </w:rPr>
          <w:fldChar w:fldCharType="separate"/>
        </w:r>
        <w:r w:rsidR="00980667">
          <w:rPr>
            <w:noProof/>
            <w:webHidden/>
          </w:rPr>
          <w:t>3</w:t>
        </w:r>
        <w:r w:rsidR="00822AEF">
          <w:rPr>
            <w:noProof/>
            <w:webHidden/>
          </w:rPr>
          <w:fldChar w:fldCharType="end"/>
        </w:r>
      </w:hyperlink>
    </w:p>
    <w:p w14:paraId="0484B8B4" w14:textId="20905670" w:rsidR="00822AEF" w:rsidRDefault="00431454" w:rsidP="0098252B">
      <w:pPr>
        <w:pStyle w:val="Sommario3"/>
        <w:rPr>
          <w:rFonts w:asciiTheme="minorHAnsi" w:eastAsiaTheme="minorEastAsia" w:hAnsiTheme="minorHAnsi" w:cstheme="minorBidi"/>
          <w:noProof/>
        </w:rPr>
      </w:pPr>
      <w:hyperlink w:anchor="_Toc128489458" w:history="1">
        <w:r w:rsidR="00822AEF" w:rsidRPr="00717865">
          <w:rPr>
            <w:rStyle w:val="Collegamentoipertestuale"/>
            <w:rFonts w:ascii="Bookman Old Style" w:hAnsi="Bookman Old Style"/>
            <w:noProof/>
          </w:rPr>
          <w:t>Articolo 4 – Importi dovuti</w:t>
        </w:r>
        <w:r w:rsidR="00822AEF">
          <w:rPr>
            <w:noProof/>
            <w:webHidden/>
          </w:rPr>
          <w:tab/>
        </w:r>
        <w:r w:rsidR="00822AEF">
          <w:rPr>
            <w:noProof/>
            <w:webHidden/>
          </w:rPr>
          <w:fldChar w:fldCharType="begin"/>
        </w:r>
        <w:r w:rsidR="00822AEF">
          <w:rPr>
            <w:noProof/>
            <w:webHidden/>
          </w:rPr>
          <w:instrText xml:space="preserve"> PAGEREF _Toc128489458 \h </w:instrText>
        </w:r>
        <w:r w:rsidR="00822AEF">
          <w:rPr>
            <w:noProof/>
            <w:webHidden/>
          </w:rPr>
        </w:r>
        <w:r w:rsidR="00822AEF">
          <w:rPr>
            <w:noProof/>
            <w:webHidden/>
          </w:rPr>
          <w:fldChar w:fldCharType="separate"/>
        </w:r>
        <w:r w:rsidR="00980667">
          <w:rPr>
            <w:noProof/>
            <w:webHidden/>
          </w:rPr>
          <w:t>3</w:t>
        </w:r>
        <w:r w:rsidR="00822AEF">
          <w:rPr>
            <w:noProof/>
            <w:webHidden/>
          </w:rPr>
          <w:fldChar w:fldCharType="end"/>
        </w:r>
      </w:hyperlink>
    </w:p>
    <w:p w14:paraId="72AE93B3" w14:textId="1A835E38" w:rsidR="00822AEF" w:rsidRDefault="00431454" w:rsidP="0098252B">
      <w:pPr>
        <w:pStyle w:val="Sommario3"/>
        <w:rPr>
          <w:rFonts w:asciiTheme="minorHAnsi" w:eastAsiaTheme="minorEastAsia" w:hAnsiTheme="minorHAnsi" w:cstheme="minorBidi"/>
          <w:noProof/>
        </w:rPr>
      </w:pPr>
      <w:hyperlink w:anchor="_Toc128489459" w:history="1">
        <w:r w:rsidR="00822AEF" w:rsidRPr="00717865">
          <w:rPr>
            <w:rStyle w:val="Collegamentoipertestuale"/>
            <w:rFonts w:ascii="Bookman Old Style" w:hAnsi="Bookman Old Style"/>
            <w:noProof/>
          </w:rPr>
          <w:t>Articolo 5 – Perfezionamento della definizione</w:t>
        </w:r>
        <w:r w:rsidR="00822AEF">
          <w:rPr>
            <w:noProof/>
            <w:webHidden/>
          </w:rPr>
          <w:tab/>
        </w:r>
        <w:r w:rsidR="00822AEF">
          <w:rPr>
            <w:noProof/>
            <w:webHidden/>
          </w:rPr>
          <w:fldChar w:fldCharType="begin"/>
        </w:r>
        <w:r w:rsidR="00822AEF">
          <w:rPr>
            <w:noProof/>
            <w:webHidden/>
          </w:rPr>
          <w:instrText xml:space="preserve"> PAGEREF _Toc128489459 \h </w:instrText>
        </w:r>
        <w:r w:rsidR="00822AEF">
          <w:rPr>
            <w:noProof/>
            <w:webHidden/>
          </w:rPr>
        </w:r>
        <w:r w:rsidR="00822AEF">
          <w:rPr>
            <w:noProof/>
            <w:webHidden/>
          </w:rPr>
          <w:fldChar w:fldCharType="separate"/>
        </w:r>
        <w:r w:rsidR="00980667">
          <w:rPr>
            <w:noProof/>
            <w:webHidden/>
          </w:rPr>
          <w:t>6</w:t>
        </w:r>
        <w:r w:rsidR="00822AEF">
          <w:rPr>
            <w:noProof/>
            <w:webHidden/>
          </w:rPr>
          <w:fldChar w:fldCharType="end"/>
        </w:r>
      </w:hyperlink>
    </w:p>
    <w:p w14:paraId="2E6530B7" w14:textId="59F2BBED" w:rsidR="00822AEF" w:rsidRDefault="00431454" w:rsidP="0098252B">
      <w:pPr>
        <w:pStyle w:val="Sommario3"/>
        <w:rPr>
          <w:rFonts w:asciiTheme="minorHAnsi" w:eastAsiaTheme="minorEastAsia" w:hAnsiTheme="minorHAnsi" w:cstheme="minorBidi"/>
          <w:noProof/>
        </w:rPr>
      </w:pPr>
      <w:hyperlink w:anchor="_Toc128489460" w:history="1">
        <w:r w:rsidR="00822AEF" w:rsidRPr="00717865">
          <w:rPr>
            <w:rStyle w:val="Collegamentoipertestuale"/>
            <w:rFonts w:ascii="Bookman Old Style" w:hAnsi="Bookman Old Style"/>
            <w:noProof/>
          </w:rPr>
          <w:t>Articolo 6 – Diniego della definizione</w:t>
        </w:r>
        <w:r w:rsidR="00822AEF">
          <w:rPr>
            <w:noProof/>
            <w:webHidden/>
          </w:rPr>
          <w:tab/>
        </w:r>
        <w:r w:rsidR="00822AEF">
          <w:rPr>
            <w:noProof/>
            <w:webHidden/>
          </w:rPr>
          <w:fldChar w:fldCharType="begin"/>
        </w:r>
        <w:r w:rsidR="00822AEF">
          <w:rPr>
            <w:noProof/>
            <w:webHidden/>
          </w:rPr>
          <w:instrText xml:space="preserve"> PAGEREF _Toc128489460 \h </w:instrText>
        </w:r>
        <w:r w:rsidR="00822AEF">
          <w:rPr>
            <w:noProof/>
            <w:webHidden/>
          </w:rPr>
        </w:r>
        <w:r w:rsidR="00822AEF">
          <w:rPr>
            <w:noProof/>
            <w:webHidden/>
          </w:rPr>
          <w:fldChar w:fldCharType="separate"/>
        </w:r>
        <w:r w:rsidR="00980667">
          <w:rPr>
            <w:noProof/>
            <w:webHidden/>
          </w:rPr>
          <w:t>7</w:t>
        </w:r>
        <w:r w:rsidR="00822AEF">
          <w:rPr>
            <w:noProof/>
            <w:webHidden/>
          </w:rPr>
          <w:fldChar w:fldCharType="end"/>
        </w:r>
      </w:hyperlink>
    </w:p>
    <w:p w14:paraId="7B0AAB87" w14:textId="1CF6F84F" w:rsidR="00822AEF" w:rsidRDefault="00431454" w:rsidP="0098252B">
      <w:pPr>
        <w:pStyle w:val="Sommario3"/>
        <w:rPr>
          <w:rFonts w:asciiTheme="minorHAnsi" w:eastAsiaTheme="minorEastAsia" w:hAnsiTheme="minorHAnsi" w:cstheme="minorBidi"/>
          <w:noProof/>
        </w:rPr>
      </w:pPr>
      <w:hyperlink w:anchor="_Toc128489461" w:history="1">
        <w:r w:rsidR="00822AEF" w:rsidRPr="00717865">
          <w:rPr>
            <w:rStyle w:val="Collegamentoipertestuale"/>
            <w:rFonts w:ascii="Bookman Old Style" w:hAnsi="Bookman Old Style"/>
            <w:noProof/>
          </w:rPr>
          <w:t>Articolo 7 – Sospensione del processo</w:t>
        </w:r>
        <w:r w:rsidR="00822AEF">
          <w:rPr>
            <w:noProof/>
            <w:webHidden/>
          </w:rPr>
          <w:tab/>
        </w:r>
        <w:r w:rsidR="00822AEF">
          <w:rPr>
            <w:noProof/>
            <w:webHidden/>
          </w:rPr>
          <w:fldChar w:fldCharType="begin"/>
        </w:r>
        <w:r w:rsidR="00822AEF">
          <w:rPr>
            <w:noProof/>
            <w:webHidden/>
          </w:rPr>
          <w:instrText xml:space="preserve"> PAGEREF _Toc128489461 \h </w:instrText>
        </w:r>
        <w:r w:rsidR="00822AEF">
          <w:rPr>
            <w:noProof/>
            <w:webHidden/>
          </w:rPr>
        </w:r>
        <w:r w:rsidR="00822AEF">
          <w:rPr>
            <w:noProof/>
            <w:webHidden/>
          </w:rPr>
          <w:fldChar w:fldCharType="separate"/>
        </w:r>
        <w:r w:rsidR="00980667">
          <w:rPr>
            <w:noProof/>
            <w:webHidden/>
          </w:rPr>
          <w:t>7</w:t>
        </w:r>
        <w:r w:rsidR="00822AEF">
          <w:rPr>
            <w:noProof/>
            <w:webHidden/>
          </w:rPr>
          <w:fldChar w:fldCharType="end"/>
        </w:r>
      </w:hyperlink>
    </w:p>
    <w:p w14:paraId="63634C15" w14:textId="16747E56" w:rsidR="00822AEF" w:rsidRDefault="00431454" w:rsidP="0098252B">
      <w:pPr>
        <w:pStyle w:val="Sommario3"/>
        <w:rPr>
          <w:rFonts w:asciiTheme="minorHAnsi" w:eastAsiaTheme="minorEastAsia" w:hAnsiTheme="minorHAnsi" w:cstheme="minorBidi"/>
          <w:noProof/>
        </w:rPr>
      </w:pPr>
      <w:hyperlink w:anchor="_Toc128489462" w:history="1">
        <w:r w:rsidR="00822AEF" w:rsidRPr="00717865">
          <w:rPr>
            <w:rStyle w:val="Collegamentoipertestuale"/>
            <w:rFonts w:ascii="Bookman Old Style" w:hAnsi="Bookman Old Style"/>
            <w:noProof/>
          </w:rPr>
          <w:t>Articolo 8 – Sospensioni termini processuali</w:t>
        </w:r>
        <w:r w:rsidR="00822AEF">
          <w:rPr>
            <w:noProof/>
            <w:webHidden/>
          </w:rPr>
          <w:tab/>
        </w:r>
        <w:r w:rsidR="00822AEF">
          <w:rPr>
            <w:noProof/>
            <w:webHidden/>
          </w:rPr>
          <w:fldChar w:fldCharType="begin"/>
        </w:r>
        <w:r w:rsidR="00822AEF">
          <w:rPr>
            <w:noProof/>
            <w:webHidden/>
          </w:rPr>
          <w:instrText xml:space="preserve"> PAGEREF _Toc128489462 \h </w:instrText>
        </w:r>
        <w:r w:rsidR="00822AEF">
          <w:rPr>
            <w:noProof/>
            <w:webHidden/>
          </w:rPr>
        </w:r>
        <w:r w:rsidR="00822AEF">
          <w:rPr>
            <w:noProof/>
            <w:webHidden/>
          </w:rPr>
          <w:fldChar w:fldCharType="separate"/>
        </w:r>
        <w:r w:rsidR="00980667">
          <w:rPr>
            <w:noProof/>
            <w:webHidden/>
          </w:rPr>
          <w:t>8</w:t>
        </w:r>
        <w:r w:rsidR="00822AEF">
          <w:rPr>
            <w:noProof/>
            <w:webHidden/>
          </w:rPr>
          <w:fldChar w:fldCharType="end"/>
        </w:r>
      </w:hyperlink>
    </w:p>
    <w:p w14:paraId="736AAD26" w14:textId="41691D63" w:rsidR="00822AEF" w:rsidRDefault="00431454" w:rsidP="0098252B">
      <w:pPr>
        <w:pStyle w:val="Sommario3"/>
        <w:rPr>
          <w:rFonts w:asciiTheme="minorHAnsi" w:eastAsiaTheme="minorEastAsia" w:hAnsiTheme="minorHAnsi" w:cstheme="minorBidi"/>
          <w:noProof/>
        </w:rPr>
      </w:pPr>
      <w:hyperlink w:anchor="_Toc128489463" w:history="1">
        <w:r w:rsidR="00822AEF" w:rsidRPr="00717865">
          <w:rPr>
            <w:rStyle w:val="Collegamentoipertestuale"/>
            <w:rFonts w:ascii="Bookman Old Style" w:hAnsi="Bookman Old Style"/>
            <w:noProof/>
          </w:rPr>
          <w:t>CAPO III – CONCILIAZIONE AGEVOLATA E ACCORDO TRANSATTIVO RICORSI PENDENTI IN CASSAZIONE</w:t>
        </w:r>
        <w:r w:rsidR="00822AEF">
          <w:rPr>
            <w:noProof/>
            <w:webHidden/>
          </w:rPr>
          <w:tab/>
        </w:r>
        <w:r w:rsidR="00822AEF">
          <w:rPr>
            <w:noProof/>
            <w:webHidden/>
          </w:rPr>
          <w:fldChar w:fldCharType="begin"/>
        </w:r>
        <w:r w:rsidR="00822AEF">
          <w:rPr>
            <w:noProof/>
            <w:webHidden/>
          </w:rPr>
          <w:instrText xml:space="preserve"> PAGEREF _Toc128489463 \h </w:instrText>
        </w:r>
        <w:r w:rsidR="00822AEF">
          <w:rPr>
            <w:noProof/>
            <w:webHidden/>
          </w:rPr>
        </w:r>
        <w:r w:rsidR="00822AEF">
          <w:rPr>
            <w:noProof/>
            <w:webHidden/>
          </w:rPr>
          <w:fldChar w:fldCharType="separate"/>
        </w:r>
        <w:r w:rsidR="00980667">
          <w:rPr>
            <w:noProof/>
            <w:webHidden/>
          </w:rPr>
          <w:t>8</w:t>
        </w:r>
        <w:r w:rsidR="00822AEF">
          <w:rPr>
            <w:noProof/>
            <w:webHidden/>
          </w:rPr>
          <w:fldChar w:fldCharType="end"/>
        </w:r>
      </w:hyperlink>
    </w:p>
    <w:p w14:paraId="5E817DBE" w14:textId="78993C79" w:rsidR="00822AEF" w:rsidRDefault="00431454" w:rsidP="0098252B">
      <w:pPr>
        <w:pStyle w:val="Sommario3"/>
        <w:rPr>
          <w:rFonts w:asciiTheme="minorHAnsi" w:eastAsiaTheme="minorEastAsia" w:hAnsiTheme="minorHAnsi" w:cstheme="minorBidi"/>
          <w:noProof/>
        </w:rPr>
      </w:pPr>
      <w:hyperlink w:anchor="_Toc128489464" w:history="1">
        <w:r w:rsidR="00822AEF" w:rsidRPr="00717865">
          <w:rPr>
            <w:rStyle w:val="Collegamentoipertestuale"/>
            <w:rFonts w:ascii="Bookman Old Style" w:hAnsi="Bookman Old Style"/>
            <w:noProof/>
          </w:rPr>
          <w:t>Articolo 9 – Conciliazione agevolata</w:t>
        </w:r>
        <w:r w:rsidR="00822AEF">
          <w:rPr>
            <w:noProof/>
            <w:webHidden/>
          </w:rPr>
          <w:tab/>
        </w:r>
        <w:r w:rsidR="00822AEF">
          <w:rPr>
            <w:noProof/>
            <w:webHidden/>
          </w:rPr>
          <w:fldChar w:fldCharType="begin"/>
        </w:r>
        <w:r w:rsidR="00822AEF">
          <w:rPr>
            <w:noProof/>
            <w:webHidden/>
          </w:rPr>
          <w:instrText xml:space="preserve"> PAGEREF _Toc128489464 \h </w:instrText>
        </w:r>
        <w:r w:rsidR="00822AEF">
          <w:rPr>
            <w:noProof/>
            <w:webHidden/>
          </w:rPr>
        </w:r>
        <w:r w:rsidR="00822AEF">
          <w:rPr>
            <w:noProof/>
            <w:webHidden/>
          </w:rPr>
          <w:fldChar w:fldCharType="separate"/>
        </w:r>
        <w:r w:rsidR="00980667">
          <w:rPr>
            <w:noProof/>
            <w:webHidden/>
          </w:rPr>
          <w:t>8</w:t>
        </w:r>
        <w:r w:rsidR="00822AEF">
          <w:rPr>
            <w:noProof/>
            <w:webHidden/>
          </w:rPr>
          <w:fldChar w:fldCharType="end"/>
        </w:r>
      </w:hyperlink>
    </w:p>
    <w:p w14:paraId="28C1D471" w14:textId="7947EA47" w:rsidR="00822AEF" w:rsidRDefault="00431454" w:rsidP="0098252B">
      <w:pPr>
        <w:pStyle w:val="Sommario3"/>
        <w:rPr>
          <w:rFonts w:asciiTheme="minorHAnsi" w:eastAsiaTheme="minorEastAsia" w:hAnsiTheme="minorHAnsi" w:cstheme="minorBidi"/>
          <w:noProof/>
        </w:rPr>
      </w:pPr>
      <w:hyperlink w:anchor="_Toc128489465" w:history="1">
        <w:r w:rsidR="00822AEF" w:rsidRPr="00717865">
          <w:rPr>
            <w:rStyle w:val="Collegamentoipertestuale"/>
            <w:rFonts w:ascii="Bookman Old Style" w:hAnsi="Bookman Old Style"/>
            <w:noProof/>
          </w:rPr>
          <w:t>Articolo 10 – Definizione transattiva delle controversie pendenti innanzi alla Corte di Cassazione</w:t>
        </w:r>
        <w:r w:rsidR="00822AEF">
          <w:rPr>
            <w:noProof/>
            <w:webHidden/>
          </w:rPr>
          <w:tab/>
        </w:r>
        <w:r w:rsidR="00822AEF">
          <w:rPr>
            <w:noProof/>
            <w:webHidden/>
          </w:rPr>
          <w:fldChar w:fldCharType="begin"/>
        </w:r>
        <w:r w:rsidR="00822AEF">
          <w:rPr>
            <w:noProof/>
            <w:webHidden/>
          </w:rPr>
          <w:instrText xml:space="preserve"> PAGEREF _Toc128489465 \h </w:instrText>
        </w:r>
        <w:r w:rsidR="00822AEF">
          <w:rPr>
            <w:noProof/>
            <w:webHidden/>
          </w:rPr>
        </w:r>
        <w:r w:rsidR="00822AEF">
          <w:rPr>
            <w:noProof/>
            <w:webHidden/>
          </w:rPr>
          <w:fldChar w:fldCharType="separate"/>
        </w:r>
        <w:r w:rsidR="00980667">
          <w:rPr>
            <w:noProof/>
            <w:webHidden/>
          </w:rPr>
          <w:t>10</w:t>
        </w:r>
        <w:r w:rsidR="00822AEF">
          <w:rPr>
            <w:noProof/>
            <w:webHidden/>
          </w:rPr>
          <w:fldChar w:fldCharType="end"/>
        </w:r>
      </w:hyperlink>
    </w:p>
    <w:p w14:paraId="2EFFB48A" w14:textId="3DAA48A0" w:rsidR="00822AEF" w:rsidRDefault="00431454" w:rsidP="0098252B">
      <w:pPr>
        <w:pStyle w:val="Sommario3"/>
        <w:rPr>
          <w:rFonts w:asciiTheme="minorHAnsi" w:eastAsiaTheme="minorEastAsia" w:hAnsiTheme="minorHAnsi" w:cstheme="minorBidi"/>
          <w:noProof/>
        </w:rPr>
      </w:pPr>
      <w:hyperlink w:anchor="_Toc128489466" w:history="1">
        <w:r w:rsidR="00822AEF" w:rsidRPr="00717865">
          <w:rPr>
            <w:rStyle w:val="Collegamentoipertestuale"/>
            <w:rFonts w:ascii="Bookman Old Style" w:hAnsi="Bookman Old Style"/>
            <w:noProof/>
          </w:rPr>
          <w:t>CAPO IV – REGOLARIZZAZIONE OMESSI VERSAMENTI RATEALI</w:t>
        </w:r>
        <w:r w:rsidR="00822AEF">
          <w:rPr>
            <w:noProof/>
            <w:webHidden/>
          </w:rPr>
          <w:tab/>
        </w:r>
        <w:r w:rsidR="00822AEF">
          <w:rPr>
            <w:noProof/>
            <w:webHidden/>
          </w:rPr>
          <w:fldChar w:fldCharType="begin"/>
        </w:r>
        <w:r w:rsidR="00822AEF">
          <w:rPr>
            <w:noProof/>
            <w:webHidden/>
          </w:rPr>
          <w:instrText xml:space="preserve"> PAGEREF _Toc128489466 \h </w:instrText>
        </w:r>
        <w:r w:rsidR="00822AEF">
          <w:rPr>
            <w:noProof/>
            <w:webHidden/>
          </w:rPr>
        </w:r>
        <w:r w:rsidR="00822AEF">
          <w:rPr>
            <w:noProof/>
            <w:webHidden/>
          </w:rPr>
          <w:fldChar w:fldCharType="separate"/>
        </w:r>
        <w:r w:rsidR="00980667">
          <w:rPr>
            <w:noProof/>
            <w:webHidden/>
          </w:rPr>
          <w:t>11</w:t>
        </w:r>
        <w:r w:rsidR="00822AEF">
          <w:rPr>
            <w:noProof/>
            <w:webHidden/>
          </w:rPr>
          <w:fldChar w:fldCharType="end"/>
        </w:r>
      </w:hyperlink>
    </w:p>
    <w:p w14:paraId="22BDE288" w14:textId="53A12854" w:rsidR="00822AEF" w:rsidRDefault="00431454" w:rsidP="0098252B">
      <w:pPr>
        <w:pStyle w:val="Sommario3"/>
        <w:rPr>
          <w:rFonts w:asciiTheme="minorHAnsi" w:eastAsiaTheme="minorEastAsia" w:hAnsiTheme="minorHAnsi" w:cstheme="minorBidi"/>
          <w:noProof/>
        </w:rPr>
      </w:pPr>
      <w:hyperlink w:anchor="_Toc128489467" w:history="1">
        <w:r w:rsidR="00822AEF" w:rsidRPr="00717865">
          <w:rPr>
            <w:rStyle w:val="Collegamentoipertestuale"/>
            <w:rFonts w:ascii="Bookman Old Style" w:hAnsi="Bookman Old Style"/>
            <w:noProof/>
          </w:rPr>
          <w:t>Articolo 11 – Ambito di applicazione</w:t>
        </w:r>
        <w:r w:rsidR="00822AEF">
          <w:rPr>
            <w:noProof/>
            <w:webHidden/>
          </w:rPr>
          <w:tab/>
        </w:r>
        <w:r w:rsidR="00822AEF">
          <w:rPr>
            <w:noProof/>
            <w:webHidden/>
          </w:rPr>
          <w:fldChar w:fldCharType="begin"/>
        </w:r>
        <w:r w:rsidR="00822AEF">
          <w:rPr>
            <w:noProof/>
            <w:webHidden/>
          </w:rPr>
          <w:instrText xml:space="preserve"> PAGEREF _Toc128489467 \h </w:instrText>
        </w:r>
        <w:r w:rsidR="00822AEF">
          <w:rPr>
            <w:noProof/>
            <w:webHidden/>
          </w:rPr>
        </w:r>
        <w:r w:rsidR="00822AEF">
          <w:rPr>
            <w:noProof/>
            <w:webHidden/>
          </w:rPr>
          <w:fldChar w:fldCharType="separate"/>
        </w:r>
        <w:r w:rsidR="00980667">
          <w:rPr>
            <w:noProof/>
            <w:webHidden/>
          </w:rPr>
          <w:t>11</w:t>
        </w:r>
        <w:r w:rsidR="00822AEF">
          <w:rPr>
            <w:noProof/>
            <w:webHidden/>
          </w:rPr>
          <w:fldChar w:fldCharType="end"/>
        </w:r>
      </w:hyperlink>
    </w:p>
    <w:p w14:paraId="69A8516C" w14:textId="29B1E22C" w:rsidR="00822AEF" w:rsidRDefault="00431454" w:rsidP="0098252B">
      <w:pPr>
        <w:pStyle w:val="Sommario3"/>
        <w:rPr>
          <w:rFonts w:asciiTheme="minorHAnsi" w:eastAsiaTheme="minorEastAsia" w:hAnsiTheme="minorHAnsi" w:cstheme="minorBidi"/>
          <w:noProof/>
        </w:rPr>
      </w:pPr>
      <w:hyperlink w:anchor="_Toc128489468" w:history="1">
        <w:r w:rsidR="00822AEF" w:rsidRPr="00717865">
          <w:rPr>
            <w:rStyle w:val="Collegamentoipertestuale"/>
            <w:rFonts w:ascii="Bookman Old Style" w:hAnsi="Bookman Old Style"/>
            <w:noProof/>
          </w:rPr>
          <w:t>Articolo 12 – Perfezionamento della regolarizzazione</w:t>
        </w:r>
        <w:r w:rsidR="00822AEF">
          <w:rPr>
            <w:noProof/>
            <w:webHidden/>
          </w:rPr>
          <w:tab/>
        </w:r>
        <w:r w:rsidR="00822AEF">
          <w:rPr>
            <w:noProof/>
            <w:webHidden/>
          </w:rPr>
          <w:fldChar w:fldCharType="begin"/>
        </w:r>
        <w:r w:rsidR="00822AEF">
          <w:rPr>
            <w:noProof/>
            <w:webHidden/>
          </w:rPr>
          <w:instrText xml:space="preserve"> PAGEREF _Toc128489468 \h </w:instrText>
        </w:r>
        <w:r w:rsidR="00822AEF">
          <w:rPr>
            <w:noProof/>
            <w:webHidden/>
          </w:rPr>
        </w:r>
        <w:r w:rsidR="00822AEF">
          <w:rPr>
            <w:noProof/>
            <w:webHidden/>
          </w:rPr>
          <w:fldChar w:fldCharType="separate"/>
        </w:r>
        <w:r w:rsidR="00980667">
          <w:rPr>
            <w:noProof/>
            <w:webHidden/>
          </w:rPr>
          <w:t>11</w:t>
        </w:r>
        <w:r w:rsidR="00822AEF">
          <w:rPr>
            <w:noProof/>
            <w:webHidden/>
          </w:rPr>
          <w:fldChar w:fldCharType="end"/>
        </w:r>
      </w:hyperlink>
    </w:p>
    <w:p w14:paraId="79488A27" w14:textId="6A4F56D2" w:rsidR="00822AEF" w:rsidRDefault="00431454" w:rsidP="0098252B">
      <w:pPr>
        <w:pStyle w:val="Sommario3"/>
        <w:rPr>
          <w:rFonts w:asciiTheme="minorHAnsi" w:eastAsiaTheme="minorEastAsia" w:hAnsiTheme="minorHAnsi" w:cstheme="minorBidi"/>
          <w:noProof/>
        </w:rPr>
      </w:pPr>
      <w:hyperlink w:anchor="_Toc128489469" w:history="1">
        <w:r w:rsidR="00822AEF" w:rsidRPr="00717865">
          <w:rPr>
            <w:rStyle w:val="Collegamentoipertestuale"/>
            <w:rFonts w:ascii="Bookman Old Style" w:hAnsi="Bookman Old Style"/>
            <w:noProof/>
          </w:rPr>
          <w:t>CAPO V – DISPOSIZIONI FINALI</w:t>
        </w:r>
        <w:r w:rsidR="00822AEF">
          <w:rPr>
            <w:noProof/>
            <w:webHidden/>
          </w:rPr>
          <w:tab/>
        </w:r>
        <w:r w:rsidR="00822AEF">
          <w:rPr>
            <w:noProof/>
            <w:webHidden/>
          </w:rPr>
          <w:fldChar w:fldCharType="begin"/>
        </w:r>
        <w:r w:rsidR="00822AEF">
          <w:rPr>
            <w:noProof/>
            <w:webHidden/>
          </w:rPr>
          <w:instrText xml:space="preserve"> PAGEREF _Toc128489469 \h </w:instrText>
        </w:r>
        <w:r w:rsidR="00822AEF">
          <w:rPr>
            <w:noProof/>
            <w:webHidden/>
          </w:rPr>
        </w:r>
        <w:r w:rsidR="00822AEF">
          <w:rPr>
            <w:noProof/>
            <w:webHidden/>
          </w:rPr>
          <w:fldChar w:fldCharType="separate"/>
        </w:r>
        <w:r w:rsidR="00980667">
          <w:rPr>
            <w:noProof/>
            <w:webHidden/>
          </w:rPr>
          <w:t>12</w:t>
        </w:r>
        <w:r w:rsidR="00822AEF">
          <w:rPr>
            <w:noProof/>
            <w:webHidden/>
          </w:rPr>
          <w:fldChar w:fldCharType="end"/>
        </w:r>
      </w:hyperlink>
    </w:p>
    <w:p w14:paraId="6EE8E5EA" w14:textId="0EBFDD4C" w:rsidR="00822AEF" w:rsidRDefault="00431454" w:rsidP="0098252B">
      <w:pPr>
        <w:pStyle w:val="Sommario3"/>
        <w:rPr>
          <w:rFonts w:asciiTheme="minorHAnsi" w:eastAsiaTheme="minorEastAsia" w:hAnsiTheme="minorHAnsi" w:cstheme="minorBidi"/>
          <w:noProof/>
        </w:rPr>
      </w:pPr>
      <w:hyperlink w:anchor="_Toc128489470" w:history="1">
        <w:r w:rsidR="00822AEF" w:rsidRPr="00717865">
          <w:rPr>
            <w:rStyle w:val="Collegamentoipertestuale"/>
            <w:rFonts w:ascii="Bookman Old Style" w:hAnsi="Bookman Old Style"/>
            <w:noProof/>
          </w:rPr>
          <w:t xml:space="preserve">Articolo 13 – </w:t>
        </w:r>
        <w:r w:rsidR="00822AEF" w:rsidRPr="00717865">
          <w:rPr>
            <w:rStyle w:val="Collegamentoipertestuale"/>
            <w:rFonts w:ascii="Bookman Old Style" w:hAnsi="Bookman Old Style"/>
            <w:i/>
            <w:noProof/>
          </w:rPr>
          <w:t>Entrata in vigore</w:t>
        </w:r>
        <w:r w:rsidR="00822AEF">
          <w:rPr>
            <w:noProof/>
            <w:webHidden/>
          </w:rPr>
          <w:tab/>
        </w:r>
        <w:r w:rsidR="00822AEF">
          <w:rPr>
            <w:noProof/>
            <w:webHidden/>
          </w:rPr>
          <w:fldChar w:fldCharType="begin"/>
        </w:r>
        <w:r w:rsidR="00822AEF">
          <w:rPr>
            <w:noProof/>
            <w:webHidden/>
          </w:rPr>
          <w:instrText xml:space="preserve"> PAGEREF _Toc128489470 \h </w:instrText>
        </w:r>
        <w:r w:rsidR="00822AEF">
          <w:rPr>
            <w:noProof/>
            <w:webHidden/>
          </w:rPr>
        </w:r>
        <w:r w:rsidR="00822AEF">
          <w:rPr>
            <w:noProof/>
            <w:webHidden/>
          </w:rPr>
          <w:fldChar w:fldCharType="separate"/>
        </w:r>
        <w:r w:rsidR="00980667">
          <w:rPr>
            <w:noProof/>
            <w:webHidden/>
          </w:rPr>
          <w:t>12</w:t>
        </w:r>
        <w:r w:rsidR="00822AEF">
          <w:rPr>
            <w:noProof/>
            <w:webHidden/>
          </w:rPr>
          <w:fldChar w:fldCharType="end"/>
        </w:r>
      </w:hyperlink>
    </w:p>
    <w:p w14:paraId="0C1E72EF" w14:textId="77777777" w:rsidR="006F52E3" w:rsidRPr="006A7674" w:rsidRDefault="006F52E3" w:rsidP="006A7674">
      <w:pPr>
        <w:spacing w:after="80" w:line="288" w:lineRule="auto"/>
        <w:rPr>
          <w:rFonts w:ascii="Bookman Old Style" w:hAnsi="Bookman Old Style"/>
        </w:rPr>
      </w:pPr>
      <w:r w:rsidRPr="006A7674">
        <w:rPr>
          <w:rFonts w:ascii="Bookman Old Style" w:hAnsi="Bookman Old Style"/>
          <w:b/>
          <w:bCs/>
        </w:rPr>
        <w:fldChar w:fldCharType="end"/>
      </w:r>
    </w:p>
    <w:p w14:paraId="072BF7AB" w14:textId="77777777" w:rsidR="006A7674" w:rsidRPr="006A7674" w:rsidRDefault="006A7674" w:rsidP="006A7674">
      <w:pPr>
        <w:spacing w:after="80" w:line="288" w:lineRule="auto"/>
        <w:rPr>
          <w:rFonts w:ascii="Bookman Old Style" w:hAnsi="Bookman Old Style"/>
        </w:rPr>
      </w:pPr>
      <w:r w:rsidRPr="006A7674">
        <w:rPr>
          <w:rFonts w:ascii="Bookman Old Style" w:hAnsi="Bookman Old Style"/>
        </w:rPr>
        <w:br w:type="page"/>
      </w:r>
    </w:p>
    <w:p w14:paraId="3CC9217B" w14:textId="77777777" w:rsidR="006F52E3" w:rsidRPr="006A7674" w:rsidRDefault="006F52E3" w:rsidP="006A7674">
      <w:pPr>
        <w:spacing w:after="80" w:line="288" w:lineRule="auto"/>
        <w:jc w:val="center"/>
        <w:rPr>
          <w:rFonts w:ascii="Bookman Old Style" w:hAnsi="Bookman Old Style"/>
        </w:rPr>
      </w:pPr>
    </w:p>
    <w:p w14:paraId="0B1634AB" w14:textId="77777777" w:rsidR="00DE2924" w:rsidRPr="006A7674" w:rsidRDefault="00DE2924" w:rsidP="006A7674">
      <w:pPr>
        <w:pStyle w:val="Titolo3"/>
        <w:spacing w:after="80" w:line="288" w:lineRule="auto"/>
        <w:rPr>
          <w:rFonts w:ascii="Bookman Old Style" w:hAnsi="Bookman Old Style"/>
          <w:sz w:val="22"/>
          <w:szCs w:val="22"/>
        </w:rPr>
      </w:pPr>
      <w:bookmarkStart w:id="1" w:name="_Toc128489453"/>
      <w:r w:rsidRPr="006A7674">
        <w:rPr>
          <w:rFonts w:ascii="Bookman Old Style" w:hAnsi="Bookman Old Style"/>
          <w:sz w:val="22"/>
          <w:szCs w:val="22"/>
        </w:rPr>
        <w:t>CAPO I – D</w:t>
      </w:r>
      <w:r w:rsidR="00E237A1" w:rsidRPr="006A7674">
        <w:rPr>
          <w:rFonts w:ascii="Bookman Old Style" w:hAnsi="Bookman Old Style"/>
          <w:sz w:val="22"/>
          <w:szCs w:val="22"/>
        </w:rPr>
        <w:t>ISPOSIZIONI GENERALI</w:t>
      </w:r>
      <w:bookmarkEnd w:id="1"/>
    </w:p>
    <w:p w14:paraId="6DEF3473" w14:textId="77777777" w:rsidR="00DE2924" w:rsidRPr="006A7674" w:rsidRDefault="00DE2924" w:rsidP="006A7674">
      <w:pPr>
        <w:spacing w:after="80" w:line="288" w:lineRule="auto"/>
        <w:rPr>
          <w:rFonts w:ascii="Bookman Old Style" w:hAnsi="Bookman Old Style"/>
        </w:rPr>
      </w:pPr>
    </w:p>
    <w:p w14:paraId="0CBBFFB0" w14:textId="77777777" w:rsidR="006F52E3" w:rsidRPr="006A7674" w:rsidRDefault="006F52E3" w:rsidP="006A7674">
      <w:pPr>
        <w:pStyle w:val="Titolo3"/>
        <w:spacing w:after="80" w:line="288" w:lineRule="auto"/>
        <w:jc w:val="both"/>
        <w:rPr>
          <w:rFonts w:ascii="Bookman Old Style" w:hAnsi="Bookman Old Style"/>
          <w:sz w:val="22"/>
          <w:szCs w:val="22"/>
        </w:rPr>
      </w:pPr>
      <w:bookmarkStart w:id="2" w:name="_Toc128489454"/>
      <w:r w:rsidRPr="006A7674">
        <w:rPr>
          <w:rFonts w:ascii="Bookman Old Style" w:hAnsi="Bookman Old Style"/>
          <w:sz w:val="22"/>
          <w:szCs w:val="22"/>
        </w:rPr>
        <w:t>Articolo 1 - Oggetto del Regolamento</w:t>
      </w:r>
      <w:bookmarkEnd w:id="2"/>
      <w:r w:rsidRPr="006A7674">
        <w:rPr>
          <w:rFonts w:ascii="Bookman Old Style" w:hAnsi="Bookman Old Style"/>
          <w:sz w:val="22"/>
          <w:szCs w:val="22"/>
        </w:rPr>
        <w:t xml:space="preserve"> </w:t>
      </w:r>
    </w:p>
    <w:p w14:paraId="234CC999" w14:textId="77777777" w:rsidR="000E3221" w:rsidRPr="006A7674" w:rsidRDefault="006F52E3" w:rsidP="006A7674">
      <w:pPr>
        <w:pStyle w:val="Rientrocorpodeltesto"/>
        <w:spacing w:after="80" w:line="288" w:lineRule="auto"/>
        <w:rPr>
          <w:rFonts w:ascii="Bookman Old Style" w:hAnsi="Bookman Old Style"/>
          <w:sz w:val="22"/>
          <w:szCs w:val="22"/>
        </w:rPr>
      </w:pPr>
      <w:r w:rsidRPr="006A7674">
        <w:rPr>
          <w:rFonts w:ascii="Bookman Old Style" w:hAnsi="Bookman Old Style"/>
          <w:sz w:val="22"/>
          <w:szCs w:val="22"/>
        </w:rPr>
        <w:t>1. Il presente regolamento</w:t>
      </w:r>
      <w:r w:rsidR="003E2139">
        <w:rPr>
          <w:rFonts w:ascii="Bookman Old Style" w:hAnsi="Bookman Old Style"/>
          <w:sz w:val="22"/>
          <w:szCs w:val="22"/>
        </w:rPr>
        <w:t>,</w:t>
      </w:r>
      <w:r w:rsidRPr="006A7674">
        <w:rPr>
          <w:rFonts w:ascii="Bookman Old Style" w:hAnsi="Bookman Old Style"/>
          <w:sz w:val="22"/>
          <w:szCs w:val="22"/>
        </w:rPr>
        <w:t xml:space="preserve"> adottato nell'ambito della potestà prevista dall’articolo 52 del decreto legislativo 15 dicembre 1997, n. 446 ed in attuazione dell’articolo </w:t>
      </w:r>
      <w:r w:rsidR="0015434D" w:rsidRPr="006A7674">
        <w:rPr>
          <w:rFonts w:ascii="Bookman Old Style" w:hAnsi="Bookman Old Style"/>
          <w:sz w:val="22"/>
          <w:szCs w:val="22"/>
        </w:rPr>
        <w:t>1</w:t>
      </w:r>
      <w:r w:rsidRPr="006A7674">
        <w:rPr>
          <w:rFonts w:ascii="Bookman Old Style" w:hAnsi="Bookman Old Style"/>
          <w:sz w:val="22"/>
          <w:szCs w:val="22"/>
        </w:rPr>
        <w:t>, comm</w:t>
      </w:r>
      <w:r w:rsidR="0015434D" w:rsidRPr="006A7674">
        <w:rPr>
          <w:rFonts w:ascii="Bookman Old Style" w:hAnsi="Bookman Old Style"/>
          <w:sz w:val="22"/>
          <w:szCs w:val="22"/>
        </w:rPr>
        <w:t>i 205 e 221-bis della legge 29 dicembre 2022, n. 197</w:t>
      </w:r>
      <w:r w:rsidRPr="006A7674">
        <w:rPr>
          <w:rFonts w:ascii="Bookman Old Style" w:hAnsi="Bookman Old Style"/>
          <w:sz w:val="22"/>
          <w:szCs w:val="22"/>
        </w:rPr>
        <w:t>, disciplina</w:t>
      </w:r>
      <w:r w:rsidR="000E3221" w:rsidRPr="006A7674">
        <w:rPr>
          <w:rFonts w:ascii="Bookman Old Style" w:hAnsi="Bookman Old Style"/>
          <w:sz w:val="22"/>
          <w:szCs w:val="22"/>
        </w:rPr>
        <w:t>:</w:t>
      </w:r>
    </w:p>
    <w:p w14:paraId="53DEB112" w14:textId="26174C33" w:rsidR="000E3221" w:rsidRPr="006A7674" w:rsidRDefault="000E3221" w:rsidP="006A7674">
      <w:pPr>
        <w:pStyle w:val="Rientrocorpodeltesto"/>
        <w:spacing w:after="80" w:line="288" w:lineRule="auto"/>
        <w:rPr>
          <w:rFonts w:ascii="Bookman Old Style" w:hAnsi="Bookman Old Style"/>
          <w:sz w:val="22"/>
          <w:szCs w:val="22"/>
        </w:rPr>
      </w:pPr>
      <w:r w:rsidRPr="006A7674">
        <w:rPr>
          <w:rFonts w:ascii="Bookman Old Style" w:hAnsi="Bookman Old Style"/>
          <w:sz w:val="22"/>
          <w:szCs w:val="22"/>
        </w:rPr>
        <w:t xml:space="preserve">- </w:t>
      </w:r>
      <w:r w:rsidR="002F637D" w:rsidRPr="006A7674">
        <w:rPr>
          <w:rFonts w:ascii="Bookman Old Style" w:hAnsi="Bookman Old Style"/>
          <w:sz w:val="22"/>
          <w:szCs w:val="22"/>
        </w:rPr>
        <w:t>la definizione agevolata,</w:t>
      </w:r>
      <w:r w:rsidR="002F637D">
        <w:rPr>
          <w:rFonts w:ascii="Bookman Old Style" w:hAnsi="Bookman Old Style"/>
          <w:sz w:val="22"/>
          <w:szCs w:val="22"/>
        </w:rPr>
        <w:t xml:space="preserve"> </w:t>
      </w:r>
      <w:r w:rsidRPr="006A7674">
        <w:rPr>
          <w:rFonts w:ascii="Bookman Old Style" w:hAnsi="Bookman Old Style"/>
          <w:sz w:val="22"/>
          <w:szCs w:val="22"/>
        </w:rPr>
        <w:t>la conciliazione agevolata e la definizione transattiva innanzi la Corte di cassazione</w:t>
      </w:r>
      <w:r w:rsidR="002F637D">
        <w:rPr>
          <w:rFonts w:ascii="Bookman Old Style" w:hAnsi="Bookman Old Style"/>
          <w:sz w:val="22"/>
          <w:szCs w:val="22"/>
        </w:rPr>
        <w:t xml:space="preserve"> delle </w:t>
      </w:r>
      <w:r w:rsidR="002F637D" w:rsidRPr="006A7674">
        <w:rPr>
          <w:rFonts w:ascii="Bookman Old Style" w:hAnsi="Bookman Old Style"/>
          <w:sz w:val="22"/>
          <w:szCs w:val="22"/>
        </w:rPr>
        <w:t>controversie pendenti al 1° gennaio 2023</w:t>
      </w:r>
      <w:r w:rsidRPr="006A7674">
        <w:rPr>
          <w:rFonts w:ascii="Bookman Old Style" w:hAnsi="Bookman Old Style"/>
          <w:sz w:val="22"/>
          <w:szCs w:val="22"/>
        </w:rPr>
        <w:t>;</w:t>
      </w:r>
    </w:p>
    <w:p w14:paraId="213BEC1D" w14:textId="77777777" w:rsidR="00E57731" w:rsidRPr="006A7674" w:rsidRDefault="00E57731" w:rsidP="006A7674">
      <w:pPr>
        <w:pStyle w:val="Rientrocorpodeltesto"/>
        <w:spacing w:after="80" w:line="288" w:lineRule="auto"/>
        <w:rPr>
          <w:rFonts w:ascii="Bookman Old Style" w:hAnsi="Bookman Old Style"/>
          <w:sz w:val="22"/>
          <w:szCs w:val="22"/>
        </w:rPr>
      </w:pPr>
      <w:r w:rsidRPr="006A7674">
        <w:rPr>
          <w:rFonts w:ascii="Bookman Old Style" w:hAnsi="Bookman Old Style"/>
          <w:sz w:val="22"/>
          <w:szCs w:val="22"/>
        </w:rPr>
        <w:t>- la regolarizzazione degli omessi pagamenti rateali scaduti al 1° gennaio 2023.</w:t>
      </w:r>
    </w:p>
    <w:p w14:paraId="12DDCF95" w14:textId="77777777" w:rsidR="006F52E3" w:rsidRPr="006A7674" w:rsidRDefault="006F52E3" w:rsidP="006A7674">
      <w:pPr>
        <w:pStyle w:val="Rientrocorpodeltesto"/>
        <w:spacing w:after="80" w:line="288" w:lineRule="auto"/>
        <w:rPr>
          <w:rFonts w:ascii="Bookman Old Style" w:hAnsi="Bookman Old Style"/>
          <w:sz w:val="22"/>
          <w:szCs w:val="22"/>
        </w:rPr>
      </w:pPr>
      <w:r w:rsidRPr="006A7674">
        <w:rPr>
          <w:rFonts w:ascii="Bookman Old Style" w:hAnsi="Bookman Old Style"/>
          <w:sz w:val="22"/>
          <w:szCs w:val="22"/>
        </w:rPr>
        <w:t>3. Per quanto non regolamentato restano applicabili le disposizioni recate dall</w:t>
      </w:r>
      <w:r w:rsidR="00356366" w:rsidRPr="006A7674">
        <w:rPr>
          <w:rFonts w:ascii="Bookman Old Style" w:hAnsi="Bookman Old Style"/>
          <w:sz w:val="22"/>
          <w:szCs w:val="22"/>
        </w:rPr>
        <w:t>a legge 29 dicembre 2022, n. 197</w:t>
      </w:r>
      <w:r w:rsidRPr="006A7674">
        <w:rPr>
          <w:rFonts w:ascii="Bookman Old Style" w:hAnsi="Bookman Old Style"/>
          <w:sz w:val="22"/>
          <w:szCs w:val="22"/>
        </w:rPr>
        <w:t>.</w:t>
      </w:r>
    </w:p>
    <w:p w14:paraId="62713FB3" w14:textId="77777777" w:rsidR="006F52E3" w:rsidRPr="006A7674" w:rsidRDefault="006F52E3" w:rsidP="006A7674">
      <w:pPr>
        <w:pStyle w:val="Rientrocorpodeltesto"/>
        <w:spacing w:after="80" w:line="288" w:lineRule="auto"/>
        <w:rPr>
          <w:rFonts w:ascii="Bookman Old Style" w:hAnsi="Bookman Old Style"/>
          <w:sz w:val="22"/>
          <w:szCs w:val="22"/>
        </w:rPr>
      </w:pPr>
    </w:p>
    <w:p w14:paraId="2DA59530" w14:textId="77777777" w:rsidR="00E407D6" w:rsidRPr="006A7674" w:rsidRDefault="00E407D6" w:rsidP="006A7674">
      <w:pPr>
        <w:pStyle w:val="Rientrocorpodeltesto"/>
        <w:spacing w:after="80" w:line="288" w:lineRule="auto"/>
        <w:rPr>
          <w:rFonts w:ascii="Bookman Old Style" w:hAnsi="Bookman Old Style"/>
          <w:sz w:val="22"/>
          <w:szCs w:val="22"/>
        </w:rPr>
      </w:pPr>
    </w:p>
    <w:p w14:paraId="44592023" w14:textId="77777777" w:rsidR="00E237A1" w:rsidRPr="006A7674" w:rsidRDefault="00E237A1" w:rsidP="006A7674">
      <w:pPr>
        <w:pStyle w:val="Titolo3"/>
        <w:spacing w:after="80" w:line="288" w:lineRule="auto"/>
        <w:rPr>
          <w:rFonts w:ascii="Bookman Old Style" w:hAnsi="Bookman Old Style"/>
          <w:sz w:val="22"/>
          <w:szCs w:val="22"/>
        </w:rPr>
      </w:pPr>
      <w:bookmarkStart w:id="3" w:name="_Toc128489455"/>
      <w:r w:rsidRPr="006A7674">
        <w:rPr>
          <w:rFonts w:ascii="Bookman Old Style" w:hAnsi="Bookman Old Style"/>
          <w:sz w:val="22"/>
          <w:szCs w:val="22"/>
        </w:rPr>
        <w:t xml:space="preserve">CAPO </w:t>
      </w:r>
      <w:r w:rsidR="00E127E5" w:rsidRPr="006A7674">
        <w:rPr>
          <w:rFonts w:ascii="Bookman Old Style" w:hAnsi="Bookman Old Style"/>
          <w:sz w:val="22"/>
          <w:szCs w:val="22"/>
        </w:rPr>
        <w:t>I</w:t>
      </w:r>
      <w:r w:rsidRPr="006A7674">
        <w:rPr>
          <w:rFonts w:ascii="Bookman Old Style" w:hAnsi="Bookman Old Style"/>
          <w:sz w:val="22"/>
          <w:szCs w:val="22"/>
        </w:rPr>
        <w:t xml:space="preserve">I – </w:t>
      </w:r>
      <w:r w:rsidR="00E127E5" w:rsidRPr="006A7674">
        <w:rPr>
          <w:rFonts w:ascii="Bookman Old Style" w:hAnsi="Bookman Old Style"/>
          <w:sz w:val="22"/>
          <w:szCs w:val="22"/>
        </w:rPr>
        <w:t>DEFINIZIONE</w:t>
      </w:r>
      <w:r w:rsidR="007974DC" w:rsidRPr="006A7674">
        <w:rPr>
          <w:rFonts w:ascii="Bookman Old Style" w:hAnsi="Bookman Old Style"/>
          <w:sz w:val="22"/>
          <w:szCs w:val="22"/>
        </w:rPr>
        <w:t xml:space="preserve"> DELLE LITI PENDENTI</w:t>
      </w:r>
      <w:bookmarkEnd w:id="3"/>
    </w:p>
    <w:p w14:paraId="2A32C66B" w14:textId="77777777" w:rsidR="00E237A1" w:rsidRPr="006A7674" w:rsidRDefault="00E237A1" w:rsidP="006A7674">
      <w:pPr>
        <w:pStyle w:val="Rientrocorpodeltesto"/>
        <w:spacing w:after="80" w:line="288" w:lineRule="auto"/>
        <w:rPr>
          <w:rFonts w:ascii="Bookman Old Style" w:hAnsi="Bookman Old Style"/>
          <w:sz w:val="22"/>
          <w:szCs w:val="22"/>
        </w:rPr>
      </w:pPr>
    </w:p>
    <w:p w14:paraId="78F2B954" w14:textId="77777777" w:rsidR="006F52E3" w:rsidRPr="006A7674" w:rsidRDefault="006F52E3" w:rsidP="006A7674">
      <w:pPr>
        <w:pStyle w:val="Titolo3"/>
        <w:spacing w:after="80" w:line="288" w:lineRule="auto"/>
        <w:jc w:val="left"/>
        <w:rPr>
          <w:rFonts w:ascii="Bookman Old Style" w:hAnsi="Bookman Old Style"/>
          <w:sz w:val="22"/>
          <w:szCs w:val="22"/>
        </w:rPr>
      </w:pPr>
      <w:bookmarkStart w:id="4" w:name="_Toc128489456"/>
      <w:r w:rsidRPr="006A7674">
        <w:rPr>
          <w:rFonts w:ascii="Bookman Old Style" w:hAnsi="Bookman Old Style"/>
          <w:sz w:val="22"/>
          <w:szCs w:val="22"/>
        </w:rPr>
        <w:t>Articolo 2 – Oggetto della definizione agevolata</w:t>
      </w:r>
      <w:bookmarkEnd w:id="4"/>
      <w:r w:rsidRPr="006A7674">
        <w:rPr>
          <w:rFonts w:ascii="Bookman Old Style" w:hAnsi="Bookman Old Style"/>
          <w:sz w:val="22"/>
          <w:szCs w:val="22"/>
        </w:rPr>
        <w:t xml:space="preserve"> </w:t>
      </w:r>
    </w:p>
    <w:p w14:paraId="12BCD024" w14:textId="77777777" w:rsidR="006F52E3" w:rsidRPr="006A7674" w:rsidRDefault="006F52E3" w:rsidP="006A7674">
      <w:pPr>
        <w:pStyle w:val="Rientrocorpodeltesto"/>
        <w:spacing w:after="80" w:line="288" w:lineRule="auto"/>
        <w:rPr>
          <w:rFonts w:ascii="Bookman Old Style" w:hAnsi="Bookman Old Style"/>
          <w:sz w:val="22"/>
          <w:szCs w:val="22"/>
        </w:rPr>
      </w:pPr>
      <w:r w:rsidRPr="006A7674">
        <w:rPr>
          <w:rFonts w:ascii="Bookman Old Style" w:hAnsi="Bookman Old Style"/>
          <w:sz w:val="22"/>
          <w:szCs w:val="22"/>
        </w:rPr>
        <w:t>1.</w:t>
      </w:r>
      <w:r w:rsidR="00894AA2" w:rsidRPr="006A7674">
        <w:rPr>
          <w:rFonts w:ascii="Bookman Old Style" w:hAnsi="Bookman Old Style"/>
          <w:sz w:val="22"/>
          <w:szCs w:val="22"/>
        </w:rPr>
        <w:t xml:space="preserve"> </w:t>
      </w:r>
      <w:r w:rsidRPr="006A7674">
        <w:rPr>
          <w:rFonts w:ascii="Bookman Old Style" w:hAnsi="Bookman Old Style"/>
          <w:sz w:val="22"/>
          <w:szCs w:val="22"/>
        </w:rPr>
        <w:t>Oggetto della definizione agevolata sono le controversie tributarie pendenti, in ogni stato e grado del giudizio, compreso quello in cassazione e</w:t>
      </w:r>
      <w:r w:rsidR="00AD3A11" w:rsidRPr="006A7674">
        <w:rPr>
          <w:rFonts w:ascii="Bookman Old Style" w:hAnsi="Bookman Old Style"/>
          <w:sz w:val="22"/>
          <w:szCs w:val="22"/>
        </w:rPr>
        <w:t>d</w:t>
      </w:r>
      <w:r w:rsidRPr="006A7674">
        <w:rPr>
          <w:rFonts w:ascii="Bookman Old Style" w:hAnsi="Bookman Old Style"/>
          <w:sz w:val="22"/>
          <w:szCs w:val="22"/>
        </w:rPr>
        <w:t xml:space="preserve"> anche a seguito di rinvio, il cui ricorso introduttivo sia stato notificato al Comune impositore</w:t>
      </w:r>
      <w:r w:rsidR="005548F9" w:rsidRPr="006A7674">
        <w:rPr>
          <w:rStyle w:val="Rimandonotaapidipagina"/>
          <w:rFonts w:ascii="Bookman Old Style" w:hAnsi="Bookman Old Style"/>
          <w:sz w:val="22"/>
          <w:szCs w:val="22"/>
        </w:rPr>
        <w:footnoteReference w:id="1"/>
      </w:r>
      <w:r w:rsidRPr="006A7674">
        <w:rPr>
          <w:rFonts w:ascii="Bookman Old Style" w:hAnsi="Bookman Old Style"/>
          <w:sz w:val="22"/>
          <w:szCs w:val="22"/>
        </w:rPr>
        <w:t xml:space="preserve"> entro la data del </w:t>
      </w:r>
      <w:r w:rsidR="00356366" w:rsidRPr="006A7674">
        <w:rPr>
          <w:rFonts w:ascii="Bookman Old Style" w:hAnsi="Bookman Old Style"/>
          <w:sz w:val="22"/>
          <w:szCs w:val="22"/>
        </w:rPr>
        <w:t>1° gennaio 2023.</w:t>
      </w:r>
      <w:r w:rsidRPr="006A7674">
        <w:rPr>
          <w:rFonts w:ascii="Bookman Old Style" w:hAnsi="Bookman Old Style"/>
          <w:sz w:val="22"/>
          <w:szCs w:val="22"/>
        </w:rPr>
        <w:t xml:space="preserve"> Per Comune impositore si intende:</w:t>
      </w:r>
    </w:p>
    <w:p w14:paraId="7089BC08" w14:textId="77777777" w:rsidR="006F52E3" w:rsidRPr="006A7674" w:rsidRDefault="006F52E3" w:rsidP="006A7674">
      <w:pPr>
        <w:pStyle w:val="Rientrocorpodeltesto"/>
        <w:spacing w:after="80" w:line="288" w:lineRule="auto"/>
        <w:rPr>
          <w:rFonts w:ascii="Bookman Old Style" w:hAnsi="Bookman Old Style"/>
          <w:sz w:val="22"/>
          <w:szCs w:val="22"/>
        </w:rPr>
      </w:pPr>
      <w:r w:rsidRPr="006A7674">
        <w:rPr>
          <w:rFonts w:ascii="Bookman Old Style" w:hAnsi="Bookman Old Style"/>
          <w:sz w:val="22"/>
          <w:szCs w:val="22"/>
        </w:rPr>
        <w:tab/>
        <w:t xml:space="preserve">a) il Comune di …….., per quanto attiene l’ICI, l’IMU, </w:t>
      </w:r>
      <w:r w:rsidR="00356366" w:rsidRPr="006A7674">
        <w:rPr>
          <w:rFonts w:ascii="Bookman Old Style" w:hAnsi="Bookman Old Style"/>
          <w:sz w:val="22"/>
          <w:szCs w:val="22"/>
        </w:rPr>
        <w:t xml:space="preserve">TARES, TARI, </w:t>
      </w:r>
      <w:r w:rsidRPr="006A7674">
        <w:rPr>
          <w:rFonts w:ascii="Bookman Old Style" w:hAnsi="Bookman Old Style"/>
          <w:sz w:val="22"/>
          <w:szCs w:val="22"/>
        </w:rPr>
        <w:t>TASI…..</w:t>
      </w:r>
    </w:p>
    <w:p w14:paraId="6EFF7FA1" w14:textId="77777777" w:rsidR="006F52E3" w:rsidRPr="006A7674" w:rsidRDefault="006F52E3" w:rsidP="006A7674">
      <w:pPr>
        <w:pStyle w:val="Rientrocorpodeltesto"/>
        <w:spacing w:after="80" w:line="288" w:lineRule="auto"/>
        <w:rPr>
          <w:rFonts w:ascii="Bookman Old Style" w:hAnsi="Bookman Old Style"/>
          <w:sz w:val="22"/>
          <w:szCs w:val="22"/>
        </w:rPr>
      </w:pPr>
      <w:r w:rsidRPr="006A7674">
        <w:rPr>
          <w:rFonts w:ascii="Bookman Old Style" w:hAnsi="Bookman Old Style"/>
          <w:sz w:val="22"/>
          <w:szCs w:val="22"/>
        </w:rPr>
        <w:tab/>
        <w:t>b) il Gestore Alfa, per quanto attiene la TARES e la TARI;</w:t>
      </w:r>
    </w:p>
    <w:p w14:paraId="5AD04616" w14:textId="77777777" w:rsidR="006F52E3" w:rsidRPr="006A7674" w:rsidRDefault="006F52E3" w:rsidP="006A7674">
      <w:pPr>
        <w:pStyle w:val="Rientrocorpodeltesto"/>
        <w:spacing w:after="80" w:line="288" w:lineRule="auto"/>
        <w:rPr>
          <w:rFonts w:ascii="Bookman Old Style" w:hAnsi="Bookman Old Style"/>
          <w:sz w:val="22"/>
          <w:szCs w:val="22"/>
        </w:rPr>
      </w:pPr>
      <w:r w:rsidRPr="006A7674">
        <w:rPr>
          <w:rFonts w:ascii="Bookman Old Style" w:hAnsi="Bookman Old Style"/>
          <w:sz w:val="22"/>
          <w:szCs w:val="22"/>
        </w:rPr>
        <w:tab/>
        <w:t>c) il Concessionario Beta, per quanto attiene</w:t>
      </w:r>
      <w:r w:rsidR="00356366" w:rsidRPr="006A7674">
        <w:rPr>
          <w:rFonts w:ascii="Bookman Old Style" w:hAnsi="Bookman Old Style"/>
          <w:sz w:val="22"/>
          <w:szCs w:val="22"/>
        </w:rPr>
        <w:t xml:space="preserve"> …………….</w:t>
      </w:r>
      <w:r w:rsidRPr="006A7674">
        <w:rPr>
          <w:rFonts w:ascii="Bookman Old Style" w:hAnsi="Bookman Old Style"/>
          <w:sz w:val="22"/>
          <w:szCs w:val="22"/>
        </w:rPr>
        <w:t>;</w:t>
      </w:r>
      <w:r w:rsidR="00356366" w:rsidRPr="006A7674">
        <w:rPr>
          <w:rStyle w:val="Rimandonotaapidipagina"/>
          <w:rFonts w:ascii="Bookman Old Style" w:hAnsi="Bookman Old Style"/>
          <w:sz w:val="22"/>
          <w:szCs w:val="22"/>
        </w:rPr>
        <w:footnoteReference w:id="2"/>
      </w:r>
    </w:p>
    <w:p w14:paraId="031DAAEA" w14:textId="0BC99973" w:rsidR="006F52E3" w:rsidRPr="006A7674" w:rsidRDefault="006F52E3" w:rsidP="006A7674">
      <w:pPr>
        <w:pStyle w:val="Rientrocorpodeltesto"/>
        <w:spacing w:after="80" w:line="288" w:lineRule="auto"/>
        <w:rPr>
          <w:rFonts w:ascii="Bookman Old Style" w:hAnsi="Bookman Old Style"/>
          <w:sz w:val="22"/>
          <w:szCs w:val="22"/>
        </w:rPr>
      </w:pPr>
      <w:r w:rsidRPr="006A7674">
        <w:rPr>
          <w:rFonts w:ascii="Bookman Old Style" w:hAnsi="Bookman Old Style"/>
          <w:sz w:val="22"/>
          <w:szCs w:val="22"/>
        </w:rPr>
        <w:tab/>
        <w:t xml:space="preserve">d) la Società </w:t>
      </w:r>
      <w:r w:rsidR="00356366" w:rsidRPr="006A7674">
        <w:rPr>
          <w:rFonts w:ascii="Bookman Old Style" w:hAnsi="Bookman Old Style"/>
          <w:sz w:val="22"/>
          <w:szCs w:val="22"/>
        </w:rPr>
        <w:t xml:space="preserve">in </w:t>
      </w:r>
      <w:r w:rsidR="00356366" w:rsidRPr="006A7674">
        <w:rPr>
          <w:rFonts w:ascii="Bookman Old Style" w:hAnsi="Bookman Old Style"/>
          <w:i/>
          <w:iCs/>
          <w:sz w:val="22"/>
          <w:szCs w:val="22"/>
        </w:rPr>
        <w:t>house</w:t>
      </w:r>
      <w:r w:rsidR="00356366" w:rsidRPr="006A7674">
        <w:rPr>
          <w:rFonts w:ascii="Bookman Old Style" w:hAnsi="Bookman Old Style"/>
          <w:sz w:val="22"/>
          <w:szCs w:val="22"/>
        </w:rPr>
        <w:t xml:space="preserve"> </w:t>
      </w:r>
      <w:r w:rsidRPr="006A7674">
        <w:rPr>
          <w:rFonts w:ascii="Bookman Old Style" w:hAnsi="Bookman Old Style"/>
          <w:sz w:val="22"/>
          <w:szCs w:val="22"/>
        </w:rPr>
        <w:t>Delta, per quanto attiene …….</w:t>
      </w:r>
    </w:p>
    <w:p w14:paraId="24327C38" w14:textId="77777777" w:rsidR="006F52E3" w:rsidRPr="006A7674" w:rsidRDefault="006F52E3" w:rsidP="006A7674">
      <w:pPr>
        <w:pStyle w:val="Rientrocorpodeltesto"/>
        <w:spacing w:after="80" w:line="288" w:lineRule="auto"/>
        <w:rPr>
          <w:rFonts w:ascii="Bookman Old Style" w:hAnsi="Bookman Old Style"/>
          <w:sz w:val="22"/>
          <w:szCs w:val="22"/>
        </w:rPr>
      </w:pPr>
      <w:r w:rsidRPr="006A7674">
        <w:rPr>
          <w:rFonts w:ascii="Bookman Old Style" w:hAnsi="Bookman Old Style"/>
          <w:sz w:val="22"/>
          <w:szCs w:val="22"/>
        </w:rPr>
        <w:t>2. La definizione agevolata è ammessa per le controversi</w:t>
      </w:r>
      <w:r w:rsidR="00AD3A11" w:rsidRPr="006A7674">
        <w:rPr>
          <w:rFonts w:ascii="Bookman Old Style" w:hAnsi="Bookman Old Style"/>
          <w:sz w:val="22"/>
          <w:szCs w:val="22"/>
        </w:rPr>
        <w:t>e attribuite alla giurisdizione tributaria</w:t>
      </w:r>
      <w:r w:rsidR="00FE462D">
        <w:rPr>
          <w:rStyle w:val="Rimandonotaapidipagina"/>
          <w:rFonts w:ascii="Bookman Old Style" w:hAnsi="Bookman Old Style"/>
          <w:sz w:val="22"/>
          <w:szCs w:val="22"/>
        </w:rPr>
        <w:footnoteReference w:id="3"/>
      </w:r>
      <w:r w:rsidR="00AD3A11" w:rsidRPr="006A7674">
        <w:rPr>
          <w:rFonts w:ascii="Bookman Old Style" w:hAnsi="Bookman Old Style"/>
          <w:sz w:val="22"/>
          <w:szCs w:val="22"/>
        </w:rPr>
        <w:t xml:space="preserve"> in cui è parte il</w:t>
      </w:r>
      <w:r w:rsidRPr="006A7674">
        <w:rPr>
          <w:rFonts w:ascii="Bookman Old Style" w:hAnsi="Bookman Old Style"/>
          <w:sz w:val="22"/>
          <w:szCs w:val="22"/>
        </w:rPr>
        <w:t xml:space="preserve"> Comune impositore, così come definito dal precedente comma</w:t>
      </w:r>
      <w:r w:rsidR="00882743" w:rsidRPr="006A7674">
        <w:rPr>
          <w:rFonts w:ascii="Bookman Old Style" w:hAnsi="Bookman Old Style"/>
          <w:sz w:val="22"/>
          <w:szCs w:val="22"/>
        </w:rPr>
        <w:t xml:space="preserve">. </w:t>
      </w:r>
    </w:p>
    <w:p w14:paraId="3FD44670" w14:textId="416DEF4C" w:rsidR="008F5BDA" w:rsidRPr="006A7674" w:rsidRDefault="008F5BDA" w:rsidP="006A7674">
      <w:pPr>
        <w:pStyle w:val="Rientrocorpodeltesto"/>
        <w:spacing w:after="80" w:line="288" w:lineRule="auto"/>
        <w:rPr>
          <w:rFonts w:ascii="Bookman Old Style" w:hAnsi="Bookman Old Style"/>
          <w:sz w:val="22"/>
          <w:szCs w:val="22"/>
        </w:rPr>
      </w:pPr>
      <w:r w:rsidRPr="006A7674">
        <w:rPr>
          <w:rFonts w:ascii="Bookman Old Style" w:hAnsi="Bookman Old Style"/>
          <w:sz w:val="22"/>
          <w:szCs w:val="22"/>
        </w:rPr>
        <w:lastRenderedPageBreak/>
        <w:t>3. La definizione agevolata non è ammessa per le controversie relative ai dinieghi</w:t>
      </w:r>
      <w:r w:rsidR="0047496A">
        <w:rPr>
          <w:rFonts w:ascii="Bookman Old Style" w:hAnsi="Bookman Old Style"/>
          <w:sz w:val="22"/>
          <w:szCs w:val="22"/>
        </w:rPr>
        <w:t xml:space="preserve"> </w:t>
      </w:r>
      <w:r w:rsidR="0047496A" w:rsidRPr="006A7674">
        <w:rPr>
          <w:rFonts w:ascii="Bookman Old Style" w:hAnsi="Bookman Old Style"/>
          <w:sz w:val="22"/>
          <w:szCs w:val="22"/>
        </w:rPr>
        <w:t>al rimborso</w:t>
      </w:r>
      <w:r w:rsidRPr="006A7674">
        <w:rPr>
          <w:rFonts w:ascii="Bookman Old Style" w:hAnsi="Bookman Old Style"/>
          <w:sz w:val="22"/>
          <w:szCs w:val="22"/>
        </w:rPr>
        <w:t>, espressi o taciti</w:t>
      </w:r>
      <w:r w:rsidRPr="006A7674">
        <w:rPr>
          <w:rStyle w:val="Rimandonotaapidipagina"/>
          <w:rFonts w:ascii="Bookman Old Style" w:hAnsi="Bookman Old Style"/>
          <w:sz w:val="22"/>
          <w:szCs w:val="22"/>
        </w:rPr>
        <w:footnoteReference w:id="4"/>
      </w:r>
      <w:r w:rsidR="003736C1" w:rsidRPr="006A7674">
        <w:rPr>
          <w:rFonts w:ascii="Bookman Old Style" w:hAnsi="Bookman Old Style"/>
          <w:sz w:val="22"/>
          <w:szCs w:val="22"/>
        </w:rPr>
        <w:t>.</w:t>
      </w:r>
    </w:p>
    <w:p w14:paraId="4D9F1C37" w14:textId="77777777" w:rsidR="006F52E3" w:rsidRPr="006A7674" w:rsidRDefault="006F52E3" w:rsidP="006A7674">
      <w:pPr>
        <w:pStyle w:val="Rientrocorpodeltesto"/>
        <w:spacing w:after="80" w:line="288" w:lineRule="auto"/>
        <w:rPr>
          <w:rFonts w:ascii="Bookman Old Style" w:hAnsi="Bookman Old Style"/>
          <w:sz w:val="22"/>
          <w:szCs w:val="22"/>
        </w:rPr>
      </w:pPr>
    </w:p>
    <w:p w14:paraId="6C0A488A" w14:textId="77777777" w:rsidR="006F52E3" w:rsidRPr="006A7674" w:rsidRDefault="006F52E3" w:rsidP="006A7674">
      <w:pPr>
        <w:pStyle w:val="Titolo3"/>
        <w:spacing w:after="80" w:line="288" w:lineRule="auto"/>
        <w:jc w:val="left"/>
        <w:rPr>
          <w:rFonts w:ascii="Bookman Old Style" w:hAnsi="Bookman Old Style"/>
          <w:sz w:val="22"/>
          <w:szCs w:val="22"/>
        </w:rPr>
      </w:pPr>
      <w:bookmarkStart w:id="5" w:name="_Toc128489457"/>
      <w:r w:rsidRPr="006A7674">
        <w:rPr>
          <w:rFonts w:ascii="Bookman Old Style" w:hAnsi="Bookman Old Style"/>
          <w:sz w:val="22"/>
          <w:szCs w:val="22"/>
        </w:rPr>
        <w:t>Articolo 3 – Termini e modalità di presentazione della domanda</w:t>
      </w:r>
      <w:bookmarkEnd w:id="5"/>
      <w:r w:rsidRPr="006A7674">
        <w:rPr>
          <w:rFonts w:ascii="Bookman Old Style" w:hAnsi="Bookman Old Style"/>
          <w:sz w:val="22"/>
          <w:szCs w:val="22"/>
        </w:rPr>
        <w:t xml:space="preserve"> </w:t>
      </w:r>
    </w:p>
    <w:p w14:paraId="618DB8D0" w14:textId="77777777" w:rsidR="006F52E3" w:rsidRPr="006A7674" w:rsidRDefault="006F52E3" w:rsidP="006A7674">
      <w:pPr>
        <w:pStyle w:val="Rientrocorpodeltesto"/>
        <w:spacing w:after="80" w:line="288" w:lineRule="auto"/>
        <w:rPr>
          <w:rFonts w:ascii="Bookman Old Style" w:hAnsi="Bookman Old Style"/>
          <w:sz w:val="22"/>
          <w:szCs w:val="22"/>
        </w:rPr>
      </w:pPr>
      <w:r w:rsidRPr="006A7674">
        <w:rPr>
          <w:rFonts w:ascii="Bookman Old Style" w:hAnsi="Bookman Old Style"/>
          <w:sz w:val="22"/>
          <w:szCs w:val="22"/>
        </w:rPr>
        <w:t>1. La domanda di definizione agevolata della controversia di cui all’articolo 2 deve essere presentata entro il 3</w:t>
      </w:r>
      <w:r w:rsidR="00882743" w:rsidRPr="006A7674">
        <w:rPr>
          <w:rFonts w:ascii="Bookman Old Style" w:hAnsi="Bookman Old Style"/>
          <w:sz w:val="22"/>
          <w:szCs w:val="22"/>
        </w:rPr>
        <w:t>0 giugno 2023</w:t>
      </w:r>
      <w:r w:rsidRPr="006A7674">
        <w:rPr>
          <w:rFonts w:ascii="Bookman Old Style" w:hAnsi="Bookman Old Style"/>
          <w:sz w:val="22"/>
          <w:szCs w:val="22"/>
        </w:rPr>
        <w:t>. La domanda, da redigersi su modello predisposto dal Comune (</w:t>
      </w:r>
      <w:r w:rsidRPr="006A7674">
        <w:rPr>
          <w:rFonts w:ascii="Bookman Old Style" w:hAnsi="Bookman Old Style"/>
          <w:i/>
          <w:sz w:val="22"/>
          <w:szCs w:val="22"/>
        </w:rPr>
        <w:t>o concessionario o società in house o società gestione Tares/Tari, …</w:t>
      </w:r>
      <w:r w:rsidRPr="006A7674">
        <w:rPr>
          <w:rFonts w:ascii="Bookman Old Style" w:hAnsi="Bookman Old Style"/>
          <w:sz w:val="22"/>
          <w:szCs w:val="22"/>
        </w:rPr>
        <w:t>) e resa disponibile sul proprio sito internet</w:t>
      </w:r>
      <w:r w:rsidR="00894AA2" w:rsidRPr="006A7674">
        <w:rPr>
          <w:rFonts w:ascii="Bookman Old Style" w:hAnsi="Bookman Old Style"/>
          <w:sz w:val="22"/>
          <w:szCs w:val="22"/>
        </w:rPr>
        <w:t>,</w:t>
      </w:r>
      <w:r w:rsidRPr="006A7674">
        <w:rPr>
          <w:rFonts w:ascii="Bookman Old Style" w:hAnsi="Bookman Old Style"/>
          <w:sz w:val="22"/>
          <w:szCs w:val="22"/>
        </w:rPr>
        <w:t xml:space="preserve"> nel termine di 10 giorni dall’approvazione del presente regolamento, può essere notificata con raccomanda A/R o tramite posta elettronica certificata o consegnata a mani.</w:t>
      </w:r>
    </w:p>
    <w:p w14:paraId="14F7E5F2" w14:textId="761899D5" w:rsidR="006F52E3" w:rsidRPr="006A7674" w:rsidRDefault="006F52E3" w:rsidP="006A7674">
      <w:pPr>
        <w:pStyle w:val="Rientrocorpodeltesto"/>
        <w:spacing w:after="80" w:line="288" w:lineRule="auto"/>
        <w:rPr>
          <w:rFonts w:ascii="Bookman Old Style" w:hAnsi="Bookman Old Style"/>
          <w:sz w:val="22"/>
          <w:szCs w:val="22"/>
        </w:rPr>
      </w:pPr>
      <w:r w:rsidRPr="006A7674">
        <w:rPr>
          <w:rFonts w:ascii="Bookman Old Style" w:hAnsi="Bookman Old Style"/>
          <w:sz w:val="22"/>
          <w:szCs w:val="22"/>
        </w:rPr>
        <w:t>2. Il contribuente deve presentare una distinta domanda, esente da bollo, per ogni singolo atto impugnato, anche nel caso di ricorso cumulativo</w:t>
      </w:r>
      <w:r w:rsidR="00882743" w:rsidRPr="006A7674">
        <w:rPr>
          <w:rFonts w:ascii="Bookman Old Style" w:hAnsi="Bookman Old Style"/>
          <w:sz w:val="22"/>
          <w:szCs w:val="22"/>
        </w:rPr>
        <w:t xml:space="preserve"> o collettivo</w:t>
      </w:r>
      <w:r w:rsidR="000E5FA0">
        <w:rPr>
          <w:rFonts w:ascii="Bookman Old Style" w:hAnsi="Bookman Old Style"/>
          <w:sz w:val="22"/>
          <w:szCs w:val="22"/>
        </w:rPr>
        <w:t xml:space="preserve"> riguardante più di un atto</w:t>
      </w:r>
      <w:r w:rsidRPr="006A7674">
        <w:rPr>
          <w:rFonts w:ascii="Bookman Old Style" w:hAnsi="Bookman Old Style"/>
          <w:sz w:val="22"/>
          <w:szCs w:val="22"/>
        </w:rPr>
        <w:t>.</w:t>
      </w:r>
    </w:p>
    <w:p w14:paraId="053D3B5A" w14:textId="77777777" w:rsidR="006F52E3" w:rsidRPr="006A7674" w:rsidRDefault="006F52E3" w:rsidP="006A7674">
      <w:pPr>
        <w:pStyle w:val="Rientrocorpodeltesto"/>
        <w:spacing w:after="80" w:line="288" w:lineRule="auto"/>
        <w:rPr>
          <w:rFonts w:ascii="Bookman Old Style" w:hAnsi="Bookman Old Style"/>
          <w:sz w:val="22"/>
          <w:szCs w:val="22"/>
        </w:rPr>
      </w:pPr>
    </w:p>
    <w:p w14:paraId="191A9549" w14:textId="77777777" w:rsidR="006F52E3" w:rsidRPr="006A7674" w:rsidRDefault="006F52E3" w:rsidP="006A7674">
      <w:pPr>
        <w:pStyle w:val="Titolo3"/>
        <w:spacing w:after="80" w:line="288" w:lineRule="auto"/>
        <w:jc w:val="left"/>
        <w:rPr>
          <w:rFonts w:ascii="Bookman Old Style" w:hAnsi="Bookman Old Style"/>
          <w:sz w:val="22"/>
          <w:szCs w:val="22"/>
        </w:rPr>
      </w:pPr>
      <w:bookmarkStart w:id="6" w:name="_Toc128489458"/>
      <w:r w:rsidRPr="006A7674">
        <w:rPr>
          <w:rFonts w:ascii="Bookman Old Style" w:hAnsi="Bookman Old Style"/>
          <w:sz w:val="22"/>
          <w:szCs w:val="22"/>
        </w:rPr>
        <w:t>Articolo 4 – Importi dovuti</w:t>
      </w:r>
      <w:bookmarkEnd w:id="6"/>
    </w:p>
    <w:p w14:paraId="2BDDBDBB" w14:textId="77777777" w:rsidR="006F52E3" w:rsidRPr="006A7674" w:rsidRDefault="006F52E3" w:rsidP="006A7674">
      <w:pPr>
        <w:pStyle w:val="Rientrocorpodeltesto"/>
        <w:spacing w:after="80" w:line="288" w:lineRule="auto"/>
        <w:rPr>
          <w:rFonts w:ascii="Bookman Old Style" w:hAnsi="Bookman Old Style"/>
          <w:sz w:val="22"/>
          <w:szCs w:val="22"/>
        </w:rPr>
      </w:pPr>
      <w:r w:rsidRPr="006A7674">
        <w:rPr>
          <w:rFonts w:ascii="Bookman Old Style" w:hAnsi="Bookman Old Style"/>
          <w:sz w:val="22"/>
          <w:szCs w:val="22"/>
        </w:rPr>
        <w:t>1. Ai fini della definizione delle controversie di cui all’articolo 2, il soggetto che ha proposto l'atto introduttivo del giudizio</w:t>
      </w:r>
      <w:r w:rsidR="003E2139">
        <w:rPr>
          <w:rFonts w:ascii="Bookman Old Style" w:hAnsi="Bookman Old Style"/>
          <w:sz w:val="22"/>
          <w:szCs w:val="22"/>
        </w:rPr>
        <w:t>,</w:t>
      </w:r>
      <w:r w:rsidRPr="006A7674">
        <w:rPr>
          <w:rFonts w:ascii="Bookman Old Style" w:hAnsi="Bookman Old Style"/>
          <w:sz w:val="22"/>
          <w:szCs w:val="22"/>
        </w:rPr>
        <w:t xml:space="preserve"> o chi vi è subentrato o ne ha la legittimazione</w:t>
      </w:r>
      <w:r w:rsidR="003E2139">
        <w:rPr>
          <w:rFonts w:ascii="Bookman Old Style" w:hAnsi="Bookman Old Style"/>
          <w:sz w:val="22"/>
          <w:szCs w:val="22"/>
        </w:rPr>
        <w:t>,</w:t>
      </w:r>
      <w:r w:rsidRPr="006A7674">
        <w:rPr>
          <w:rFonts w:ascii="Bookman Old Style" w:hAnsi="Bookman Old Style"/>
          <w:sz w:val="22"/>
          <w:szCs w:val="22"/>
        </w:rPr>
        <w:t xml:space="preserve"> può definire la controversia tenuto conto dello stato in cui si trovava la controversia e dell’esito delle </w:t>
      </w:r>
      <w:r w:rsidR="00D6033E" w:rsidRPr="006A7674">
        <w:rPr>
          <w:rFonts w:ascii="Bookman Old Style" w:hAnsi="Bookman Old Style"/>
          <w:sz w:val="22"/>
          <w:szCs w:val="22"/>
        </w:rPr>
        <w:t xml:space="preserve">pronunce </w:t>
      </w:r>
      <w:r w:rsidR="0058352D" w:rsidRPr="006A7674">
        <w:rPr>
          <w:rFonts w:ascii="Bookman Old Style" w:hAnsi="Bookman Old Style"/>
          <w:sz w:val="22"/>
          <w:szCs w:val="22"/>
        </w:rPr>
        <w:t>depositat</w:t>
      </w:r>
      <w:r w:rsidR="00894AA2" w:rsidRPr="006A7674">
        <w:rPr>
          <w:rFonts w:ascii="Bookman Old Style" w:hAnsi="Bookman Old Style"/>
          <w:sz w:val="22"/>
          <w:szCs w:val="22"/>
        </w:rPr>
        <w:t>e</w:t>
      </w:r>
      <w:r w:rsidR="0058352D" w:rsidRPr="006A7674">
        <w:rPr>
          <w:rStyle w:val="Rimandonotaapidipagina"/>
          <w:rFonts w:ascii="Bookman Old Style" w:hAnsi="Bookman Old Style"/>
          <w:sz w:val="22"/>
          <w:szCs w:val="22"/>
        </w:rPr>
        <w:footnoteReference w:id="5"/>
      </w:r>
      <w:r w:rsidR="0058352D" w:rsidRPr="006A7674">
        <w:rPr>
          <w:rFonts w:ascii="Bookman Old Style" w:hAnsi="Bookman Old Style"/>
          <w:sz w:val="22"/>
          <w:szCs w:val="22"/>
        </w:rPr>
        <w:t xml:space="preserve"> </w:t>
      </w:r>
      <w:r w:rsidR="00D6033E" w:rsidRPr="006A7674">
        <w:rPr>
          <w:rFonts w:ascii="Bookman Old Style" w:hAnsi="Bookman Old Style"/>
          <w:sz w:val="22"/>
          <w:szCs w:val="22"/>
        </w:rPr>
        <w:t>entro la data del 1° gennaio 2023</w:t>
      </w:r>
      <w:r w:rsidRPr="006A7674">
        <w:rPr>
          <w:rFonts w:ascii="Bookman Old Style" w:hAnsi="Bookman Old Style"/>
          <w:sz w:val="22"/>
          <w:szCs w:val="22"/>
        </w:rPr>
        <w:t>. In particola</w:t>
      </w:r>
      <w:r w:rsidR="0038118C" w:rsidRPr="006A7674">
        <w:rPr>
          <w:rFonts w:ascii="Bookman Old Style" w:hAnsi="Bookman Old Style"/>
          <w:sz w:val="22"/>
          <w:szCs w:val="22"/>
        </w:rPr>
        <w:t>re</w:t>
      </w:r>
      <w:r w:rsidR="003E2139">
        <w:rPr>
          <w:rFonts w:ascii="Bookman Old Style" w:hAnsi="Bookman Old Style"/>
          <w:sz w:val="22"/>
          <w:szCs w:val="22"/>
        </w:rPr>
        <w:t>,</w:t>
      </w:r>
      <w:r w:rsidRPr="006A7674">
        <w:rPr>
          <w:rFonts w:ascii="Bookman Old Style" w:hAnsi="Bookman Old Style"/>
          <w:sz w:val="22"/>
          <w:szCs w:val="22"/>
        </w:rPr>
        <w:t xml:space="preserve"> la definizione può avvenire col pagamento dei seguenti importi:</w:t>
      </w:r>
    </w:p>
    <w:p w14:paraId="74C468DA" w14:textId="3DF8DB03" w:rsidR="00390586" w:rsidRDefault="00390586" w:rsidP="006A7674">
      <w:pPr>
        <w:pStyle w:val="testo"/>
        <w:numPr>
          <w:ilvl w:val="0"/>
          <w:numId w:val="1"/>
        </w:numPr>
        <w:spacing w:after="80" w:line="288" w:lineRule="auto"/>
        <w:rPr>
          <w:rFonts w:ascii="Bookman Old Style" w:hAnsi="Bookman Old Style"/>
          <w:spacing w:val="4"/>
          <w:sz w:val="22"/>
          <w:szCs w:val="22"/>
        </w:rPr>
      </w:pPr>
      <w:r w:rsidRPr="006A7674">
        <w:rPr>
          <w:rFonts w:ascii="Bookman Old Style" w:hAnsi="Bookman Old Style"/>
          <w:spacing w:val="4"/>
          <w:sz w:val="22"/>
          <w:szCs w:val="22"/>
        </w:rPr>
        <w:t>il 100% del</w:t>
      </w:r>
      <w:r w:rsidR="008C33F9" w:rsidRPr="006A7674">
        <w:rPr>
          <w:rFonts w:ascii="Bookman Old Style" w:hAnsi="Bookman Old Style"/>
          <w:spacing w:val="4"/>
          <w:sz w:val="22"/>
          <w:szCs w:val="22"/>
        </w:rPr>
        <w:t xml:space="preserve"> valore della controversia</w:t>
      </w:r>
      <w:r w:rsidRPr="006A7674">
        <w:rPr>
          <w:rFonts w:ascii="Bookman Old Style" w:hAnsi="Bookman Old Style"/>
          <w:spacing w:val="4"/>
          <w:sz w:val="22"/>
          <w:szCs w:val="22"/>
        </w:rPr>
        <w:t>, nell’ipotesi di ricorso notificato al Comune impositore entro il 1° gennaio 2023</w:t>
      </w:r>
      <w:r w:rsidRPr="006A7674">
        <w:rPr>
          <w:rStyle w:val="Rimandonotaapidipagina"/>
          <w:rFonts w:ascii="Bookman Old Style" w:hAnsi="Bookman Old Style"/>
          <w:spacing w:val="4"/>
          <w:sz w:val="22"/>
          <w:szCs w:val="22"/>
        </w:rPr>
        <w:footnoteReference w:id="6"/>
      </w:r>
      <w:r w:rsidRPr="006A7674">
        <w:rPr>
          <w:rFonts w:ascii="Bookman Old Style" w:hAnsi="Bookman Old Style"/>
          <w:spacing w:val="4"/>
          <w:sz w:val="22"/>
          <w:szCs w:val="22"/>
        </w:rPr>
        <w:t>, ma non ancora depositato presso la Corte di giustizia tributaria</w:t>
      </w:r>
      <w:r w:rsidRPr="006A7674">
        <w:rPr>
          <w:rStyle w:val="Rimandonotaapidipagina"/>
          <w:rFonts w:ascii="Bookman Old Style" w:hAnsi="Bookman Old Style"/>
          <w:spacing w:val="4"/>
          <w:sz w:val="22"/>
          <w:szCs w:val="22"/>
        </w:rPr>
        <w:footnoteReference w:id="7"/>
      </w:r>
      <w:r w:rsidRPr="006A7674">
        <w:rPr>
          <w:rFonts w:ascii="Bookman Old Style" w:hAnsi="Bookman Old Style"/>
          <w:spacing w:val="4"/>
          <w:sz w:val="22"/>
          <w:szCs w:val="22"/>
        </w:rPr>
        <w:t>;</w:t>
      </w:r>
    </w:p>
    <w:p w14:paraId="0EF6D88F" w14:textId="77777777" w:rsidR="000E5FA0" w:rsidRPr="006A7674" w:rsidRDefault="000E5FA0" w:rsidP="000E5FA0">
      <w:pPr>
        <w:pStyle w:val="testo"/>
        <w:spacing w:after="80" w:line="288" w:lineRule="auto"/>
        <w:ind w:left="757" w:firstLine="0"/>
        <w:rPr>
          <w:rFonts w:ascii="Bookman Old Style" w:hAnsi="Bookman Old Style"/>
          <w:spacing w:val="4"/>
          <w:sz w:val="22"/>
          <w:szCs w:val="22"/>
        </w:rPr>
      </w:pPr>
    </w:p>
    <w:p w14:paraId="2DF75CB2" w14:textId="0E73791C" w:rsidR="000C164A" w:rsidRDefault="006F52E3" w:rsidP="006A7674">
      <w:pPr>
        <w:pStyle w:val="testo"/>
        <w:numPr>
          <w:ilvl w:val="0"/>
          <w:numId w:val="1"/>
        </w:numPr>
        <w:spacing w:after="80" w:line="288" w:lineRule="auto"/>
        <w:rPr>
          <w:rFonts w:ascii="Bookman Old Style" w:hAnsi="Bookman Old Style"/>
          <w:spacing w:val="4"/>
          <w:sz w:val="22"/>
          <w:szCs w:val="22"/>
        </w:rPr>
      </w:pPr>
      <w:r w:rsidRPr="006A7674">
        <w:rPr>
          <w:rFonts w:ascii="Bookman Old Style" w:hAnsi="Bookman Old Style"/>
          <w:spacing w:val="4"/>
          <w:sz w:val="22"/>
          <w:szCs w:val="22"/>
        </w:rPr>
        <w:lastRenderedPageBreak/>
        <w:t xml:space="preserve">il 100% </w:t>
      </w:r>
      <w:r w:rsidR="008C33F9" w:rsidRPr="006A7674">
        <w:rPr>
          <w:rFonts w:ascii="Bookman Old Style" w:hAnsi="Bookman Old Style"/>
          <w:spacing w:val="4"/>
          <w:sz w:val="22"/>
          <w:szCs w:val="22"/>
        </w:rPr>
        <w:t>del valore della controversia</w:t>
      </w:r>
      <w:r w:rsidR="000C164A" w:rsidRPr="006A7674">
        <w:rPr>
          <w:rFonts w:ascii="Bookman Old Style" w:hAnsi="Bookman Old Style"/>
          <w:spacing w:val="4"/>
          <w:sz w:val="22"/>
          <w:szCs w:val="22"/>
        </w:rPr>
        <w:t>, nell’ipotesi in cui alla data del 1° gennaio 2023 l’ultima pronuncia, non cautelare, deposita</w:t>
      </w:r>
      <w:r w:rsidR="003E2139">
        <w:rPr>
          <w:rFonts w:ascii="Bookman Old Style" w:hAnsi="Bookman Old Style"/>
          <w:spacing w:val="4"/>
          <w:sz w:val="22"/>
          <w:szCs w:val="22"/>
        </w:rPr>
        <w:t>ta</w:t>
      </w:r>
      <w:r w:rsidR="000C164A" w:rsidRPr="006A7674">
        <w:rPr>
          <w:rFonts w:ascii="Bookman Old Style" w:hAnsi="Bookman Old Style"/>
          <w:spacing w:val="4"/>
          <w:sz w:val="22"/>
          <w:szCs w:val="22"/>
        </w:rPr>
        <w:t xml:space="preserve"> sia favorevole al Comune impositore</w:t>
      </w:r>
      <w:r w:rsidR="00D74963" w:rsidRPr="006A7674">
        <w:rPr>
          <w:rStyle w:val="Rimandonotaapidipagina"/>
          <w:rFonts w:ascii="Bookman Old Style" w:hAnsi="Bookman Old Style"/>
          <w:spacing w:val="4"/>
          <w:sz w:val="22"/>
          <w:szCs w:val="22"/>
        </w:rPr>
        <w:footnoteReference w:id="8"/>
      </w:r>
      <w:r w:rsidR="000C164A" w:rsidRPr="006A7674">
        <w:rPr>
          <w:rFonts w:ascii="Bookman Old Style" w:hAnsi="Bookman Old Style"/>
          <w:spacing w:val="4"/>
          <w:sz w:val="22"/>
          <w:szCs w:val="22"/>
        </w:rPr>
        <w:t>;</w:t>
      </w:r>
    </w:p>
    <w:p w14:paraId="05ABE8EB" w14:textId="77777777" w:rsidR="00390586" w:rsidRPr="006A7674" w:rsidRDefault="00390586" w:rsidP="006A7674">
      <w:pPr>
        <w:pStyle w:val="testo"/>
        <w:numPr>
          <w:ilvl w:val="0"/>
          <w:numId w:val="1"/>
        </w:numPr>
        <w:spacing w:after="80" w:line="288" w:lineRule="auto"/>
        <w:rPr>
          <w:rFonts w:ascii="Bookman Old Style" w:hAnsi="Bookman Old Style"/>
          <w:spacing w:val="4"/>
          <w:sz w:val="22"/>
          <w:szCs w:val="22"/>
        </w:rPr>
      </w:pPr>
      <w:r w:rsidRPr="006A7674">
        <w:rPr>
          <w:rFonts w:ascii="Bookman Old Style" w:hAnsi="Bookman Old Style"/>
          <w:spacing w:val="4"/>
          <w:sz w:val="22"/>
          <w:szCs w:val="22"/>
        </w:rPr>
        <w:t xml:space="preserve">il 90% </w:t>
      </w:r>
      <w:r w:rsidR="008C33F9" w:rsidRPr="006A7674">
        <w:rPr>
          <w:rFonts w:ascii="Bookman Old Style" w:hAnsi="Bookman Old Style"/>
          <w:spacing w:val="4"/>
          <w:sz w:val="22"/>
          <w:szCs w:val="22"/>
        </w:rPr>
        <w:t>del valore della controversia</w:t>
      </w:r>
      <w:r w:rsidRPr="006A7674">
        <w:rPr>
          <w:rFonts w:ascii="Bookman Old Style" w:hAnsi="Bookman Old Style"/>
          <w:spacing w:val="4"/>
          <w:sz w:val="22"/>
          <w:szCs w:val="22"/>
        </w:rPr>
        <w:t>, nell’ipotesi di ricorso iscritto nel primo grado</w:t>
      </w:r>
      <w:r w:rsidRPr="006A7674">
        <w:rPr>
          <w:rStyle w:val="Rimandonotaapidipagina"/>
          <w:rFonts w:ascii="Bookman Old Style" w:hAnsi="Bookman Old Style"/>
          <w:spacing w:val="4"/>
          <w:sz w:val="22"/>
          <w:szCs w:val="22"/>
        </w:rPr>
        <w:footnoteReference w:id="9"/>
      </w:r>
      <w:r w:rsidR="00C331E0" w:rsidRPr="006A7674">
        <w:rPr>
          <w:rFonts w:ascii="Bookman Old Style" w:hAnsi="Bookman Old Style"/>
          <w:spacing w:val="4"/>
          <w:sz w:val="22"/>
          <w:szCs w:val="22"/>
        </w:rPr>
        <w:t xml:space="preserve"> oppure </w:t>
      </w:r>
      <w:r w:rsidR="00C43107" w:rsidRPr="006A7674">
        <w:rPr>
          <w:rFonts w:ascii="Bookman Old Style" w:hAnsi="Bookman Old Style"/>
          <w:spacing w:val="4"/>
          <w:sz w:val="22"/>
          <w:szCs w:val="22"/>
        </w:rPr>
        <w:t xml:space="preserve">in pendenza del </w:t>
      </w:r>
      <w:r w:rsidR="00C331E0" w:rsidRPr="006A7674">
        <w:rPr>
          <w:rFonts w:ascii="Bookman Old Style" w:hAnsi="Bookman Old Style"/>
          <w:spacing w:val="4"/>
          <w:sz w:val="22"/>
          <w:szCs w:val="22"/>
        </w:rPr>
        <w:t>giudizio di rinvio d</w:t>
      </w:r>
      <w:r w:rsidR="00C43107" w:rsidRPr="006A7674">
        <w:rPr>
          <w:rFonts w:ascii="Bookman Old Style" w:hAnsi="Bookman Old Style"/>
          <w:spacing w:val="4"/>
          <w:sz w:val="22"/>
          <w:szCs w:val="22"/>
        </w:rPr>
        <w:t xml:space="preserve">isposto </w:t>
      </w:r>
      <w:r w:rsidR="00C331E0" w:rsidRPr="006A7674">
        <w:rPr>
          <w:rFonts w:ascii="Bookman Old Style" w:hAnsi="Bookman Old Style"/>
          <w:spacing w:val="4"/>
          <w:sz w:val="22"/>
          <w:szCs w:val="22"/>
        </w:rPr>
        <w:t xml:space="preserve">della Corte di </w:t>
      </w:r>
      <w:r w:rsidR="0038118C" w:rsidRPr="006A7674">
        <w:rPr>
          <w:rFonts w:ascii="Bookman Old Style" w:hAnsi="Bookman Old Style"/>
          <w:spacing w:val="4"/>
          <w:sz w:val="22"/>
          <w:szCs w:val="22"/>
        </w:rPr>
        <w:t>c</w:t>
      </w:r>
      <w:r w:rsidR="00C331E0" w:rsidRPr="006A7674">
        <w:rPr>
          <w:rFonts w:ascii="Bookman Old Style" w:hAnsi="Bookman Old Style"/>
          <w:spacing w:val="4"/>
          <w:sz w:val="22"/>
          <w:szCs w:val="22"/>
        </w:rPr>
        <w:t>assazione</w:t>
      </w:r>
      <w:r w:rsidR="00C43107" w:rsidRPr="006A7674">
        <w:rPr>
          <w:rStyle w:val="Rimandonotaapidipagina"/>
          <w:rFonts w:ascii="Bookman Old Style" w:hAnsi="Bookman Old Style"/>
          <w:spacing w:val="4"/>
          <w:sz w:val="22"/>
          <w:szCs w:val="22"/>
        </w:rPr>
        <w:footnoteReference w:id="10"/>
      </w:r>
      <w:r w:rsidR="008C33F9" w:rsidRPr="006A7674">
        <w:rPr>
          <w:rFonts w:ascii="Bookman Old Style" w:hAnsi="Bookman Old Style"/>
          <w:spacing w:val="4"/>
          <w:sz w:val="22"/>
          <w:szCs w:val="22"/>
        </w:rPr>
        <w:t>;</w:t>
      </w:r>
    </w:p>
    <w:p w14:paraId="2F132117" w14:textId="77777777" w:rsidR="008C33F9" w:rsidRPr="006A7674" w:rsidRDefault="008C33F9" w:rsidP="006A7674">
      <w:pPr>
        <w:pStyle w:val="testo"/>
        <w:numPr>
          <w:ilvl w:val="0"/>
          <w:numId w:val="1"/>
        </w:numPr>
        <w:spacing w:after="80" w:line="288" w:lineRule="auto"/>
        <w:rPr>
          <w:rFonts w:ascii="Bookman Old Style" w:hAnsi="Bookman Old Style"/>
          <w:spacing w:val="4"/>
          <w:sz w:val="22"/>
          <w:szCs w:val="22"/>
        </w:rPr>
      </w:pPr>
      <w:r w:rsidRPr="006A7674">
        <w:rPr>
          <w:rFonts w:ascii="Bookman Old Style" w:hAnsi="Bookman Old Style"/>
          <w:spacing w:val="4"/>
          <w:sz w:val="22"/>
          <w:szCs w:val="22"/>
        </w:rPr>
        <w:t>il 40% del valore della controversia, nell’ipotesi in cui alla data del 1° gennaio 2023</w:t>
      </w:r>
      <w:r w:rsidR="007F5B5B" w:rsidRPr="006A7674">
        <w:rPr>
          <w:rFonts w:ascii="Bookman Old Style" w:hAnsi="Bookman Old Style"/>
          <w:spacing w:val="4"/>
          <w:sz w:val="22"/>
          <w:szCs w:val="22"/>
        </w:rPr>
        <w:t xml:space="preserve"> l’ultima </w:t>
      </w:r>
      <w:r w:rsidR="00E010ED" w:rsidRPr="006A7674">
        <w:rPr>
          <w:rFonts w:ascii="Bookman Old Style" w:hAnsi="Bookman Old Style"/>
          <w:spacing w:val="4"/>
          <w:sz w:val="22"/>
          <w:szCs w:val="22"/>
        </w:rPr>
        <w:t>pronuncia</w:t>
      </w:r>
      <w:r w:rsidR="007F5B5B" w:rsidRPr="006A7674">
        <w:rPr>
          <w:rFonts w:ascii="Bookman Old Style" w:hAnsi="Bookman Old Style"/>
          <w:spacing w:val="4"/>
          <w:sz w:val="22"/>
          <w:szCs w:val="22"/>
        </w:rPr>
        <w:t>, non cautelare, depositata sia di primo grado e sia sfavorevole al Comune impositore</w:t>
      </w:r>
      <w:r w:rsidR="007F5B5B" w:rsidRPr="006A7674">
        <w:rPr>
          <w:rStyle w:val="Rimandonotaapidipagina"/>
          <w:rFonts w:ascii="Bookman Old Style" w:hAnsi="Bookman Old Style"/>
          <w:spacing w:val="4"/>
          <w:sz w:val="22"/>
          <w:szCs w:val="22"/>
        </w:rPr>
        <w:footnoteReference w:id="11"/>
      </w:r>
      <w:r w:rsidR="007F5B5B" w:rsidRPr="006A7674">
        <w:rPr>
          <w:rFonts w:ascii="Bookman Old Style" w:hAnsi="Bookman Old Style"/>
          <w:spacing w:val="4"/>
          <w:sz w:val="22"/>
          <w:szCs w:val="22"/>
        </w:rPr>
        <w:t>;</w:t>
      </w:r>
    </w:p>
    <w:p w14:paraId="22563FA8" w14:textId="72392CBE" w:rsidR="000E5FA0" w:rsidRPr="000E5FA0" w:rsidRDefault="007F5B5B" w:rsidP="000E5FA0">
      <w:pPr>
        <w:pStyle w:val="testo"/>
        <w:numPr>
          <w:ilvl w:val="0"/>
          <w:numId w:val="1"/>
        </w:numPr>
        <w:spacing w:after="80" w:line="288" w:lineRule="auto"/>
        <w:rPr>
          <w:rFonts w:ascii="Bookman Old Style" w:hAnsi="Bookman Old Style"/>
          <w:spacing w:val="4"/>
          <w:sz w:val="22"/>
          <w:szCs w:val="22"/>
        </w:rPr>
      </w:pPr>
      <w:r w:rsidRPr="006A7674">
        <w:rPr>
          <w:rFonts w:ascii="Bookman Old Style" w:hAnsi="Bookman Old Style"/>
          <w:spacing w:val="4"/>
          <w:sz w:val="22"/>
          <w:szCs w:val="22"/>
        </w:rPr>
        <w:t xml:space="preserve">il 15% del valore della controversia, nell’ipotesi in cui alla data del 1° gennaio 2023 l’ultima </w:t>
      </w:r>
      <w:r w:rsidR="00E010ED" w:rsidRPr="006A7674">
        <w:rPr>
          <w:rFonts w:ascii="Bookman Old Style" w:hAnsi="Bookman Old Style"/>
          <w:spacing w:val="4"/>
          <w:sz w:val="22"/>
          <w:szCs w:val="22"/>
        </w:rPr>
        <w:t>pronuncia</w:t>
      </w:r>
      <w:r w:rsidRPr="006A7674">
        <w:rPr>
          <w:rFonts w:ascii="Bookman Old Style" w:hAnsi="Bookman Old Style"/>
          <w:spacing w:val="4"/>
          <w:sz w:val="22"/>
          <w:szCs w:val="22"/>
        </w:rPr>
        <w:t>, non cautelare, depositata sia di secondo grado e sia sfavorevole al Comune impositore;</w:t>
      </w:r>
    </w:p>
    <w:p w14:paraId="0E28A62B" w14:textId="332A514E" w:rsidR="007F5B5B" w:rsidRPr="006A7674" w:rsidRDefault="00B63C4C" w:rsidP="006A7674">
      <w:pPr>
        <w:pStyle w:val="testo"/>
        <w:numPr>
          <w:ilvl w:val="0"/>
          <w:numId w:val="1"/>
        </w:numPr>
        <w:spacing w:after="80" w:line="288" w:lineRule="auto"/>
        <w:rPr>
          <w:rFonts w:ascii="Bookman Old Style" w:hAnsi="Bookman Old Style"/>
          <w:spacing w:val="4"/>
          <w:sz w:val="22"/>
          <w:szCs w:val="22"/>
        </w:rPr>
      </w:pPr>
      <w:r w:rsidRPr="006A7674">
        <w:rPr>
          <w:rFonts w:ascii="Bookman Old Style" w:hAnsi="Bookman Old Style"/>
          <w:spacing w:val="4"/>
          <w:sz w:val="22"/>
          <w:szCs w:val="22"/>
        </w:rPr>
        <w:t>il 5% del valore della controversia, nell’ipotesi</w:t>
      </w:r>
      <w:r w:rsidR="00A97767" w:rsidRPr="006A7674">
        <w:rPr>
          <w:rFonts w:ascii="Bookman Old Style" w:hAnsi="Bookman Old Style"/>
          <w:spacing w:val="4"/>
          <w:sz w:val="22"/>
          <w:szCs w:val="22"/>
        </w:rPr>
        <w:t xml:space="preserve"> di controversie pendenti</w:t>
      </w:r>
      <w:r w:rsidR="00E010ED" w:rsidRPr="006A7674">
        <w:rPr>
          <w:rStyle w:val="Rimandonotaapidipagina"/>
          <w:rFonts w:ascii="Bookman Old Style" w:hAnsi="Bookman Old Style"/>
          <w:spacing w:val="4"/>
          <w:sz w:val="22"/>
          <w:szCs w:val="22"/>
        </w:rPr>
        <w:footnoteReference w:id="12"/>
      </w:r>
      <w:r w:rsidR="00A97767" w:rsidRPr="006A7674">
        <w:rPr>
          <w:rFonts w:ascii="Bookman Old Style" w:hAnsi="Bookman Old Style"/>
          <w:spacing w:val="4"/>
          <w:sz w:val="22"/>
          <w:szCs w:val="22"/>
        </w:rPr>
        <w:t xml:space="preserve"> innanzi la Corte di </w:t>
      </w:r>
      <w:r w:rsidR="002E36C8" w:rsidRPr="006A7674">
        <w:rPr>
          <w:rFonts w:ascii="Bookman Old Style" w:hAnsi="Bookman Old Style"/>
          <w:spacing w:val="4"/>
          <w:sz w:val="22"/>
          <w:szCs w:val="22"/>
        </w:rPr>
        <w:t>cassazione</w:t>
      </w:r>
      <w:r w:rsidR="00A97767" w:rsidRPr="006A7674">
        <w:rPr>
          <w:rFonts w:ascii="Bookman Old Style" w:hAnsi="Bookman Old Style"/>
          <w:spacing w:val="4"/>
          <w:sz w:val="22"/>
          <w:szCs w:val="22"/>
        </w:rPr>
        <w:t>, per le quali il Comune impositore sia risultato soccombente</w:t>
      </w:r>
      <w:r w:rsidR="00212E82">
        <w:rPr>
          <w:rStyle w:val="Rimandonotaapidipagina"/>
          <w:rFonts w:ascii="Bookman Old Style" w:hAnsi="Bookman Old Style"/>
          <w:spacing w:val="4"/>
          <w:sz w:val="22"/>
          <w:szCs w:val="22"/>
        </w:rPr>
        <w:footnoteReference w:id="13"/>
      </w:r>
      <w:r w:rsidR="00A97767" w:rsidRPr="006A7674">
        <w:rPr>
          <w:rFonts w:ascii="Bookman Old Style" w:hAnsi="Bookman Old Style"/>
          <w:spacing w:val="4"/>
          <w:sz w:val="22"/>
          <w:szCs w:val="22"/>
        </w:rPr>
        <w:t xml:space="preserve"> in tutti i precedenti gradi di giudizio</w:t>
      </w:r>
      <w:r w:rsidR="00A97767" w:rsidRPr="006A7674">
        <w:rPr>
          <w:rStyle w:val="Rimandonotaapidipagina"/>
          <w:rFonts w:ascii="Bookman Old Style" w:hAnsi="Bookman Old Style"/>
          <w:spacing w:val="4"/>
          <w:sz w:val="22"/>
          <w:szCs w:val="22"/>
        </w:rPr>
        <w:footnoteReference w:id="14"/>
      </w:r>
      <w:r w:rsidR="003C6D2A">
        <w:rPr>
          <w:rFonts w:ascii="Bookman Old Style" w:hAnsi="Bookman Old Style"/>
          <w:spacing w:val="4"/>
          <w:sz w:val="22"/>
          <w:szCs w:val="22"/>
        </w:rPr>
        <w:t>.</w:t>
      </w:r>
    </w:p>
    <w:p w14:paraId="487B81C8" w14:textId="77777777" w:rsidR="006F52E3" w:rsidRPr="006A7674" w:rsidRDefault="006F52E3" w:rsidP="006A7674">
      <w:pPr>
        <w:pStyle w:val="Rientrocorpodeltesto"/>
        <w:spacing w:after="80" w:line="288" w:lineRule="auto"/>
        <w:rPr>
          <w:rFonts w:ascii="Bookman Old Style" w:hAnsi="Bookman Old Style"/>
          <w:sz w:val="22"/>
          <w:szCs w:val="22"/>
        </w:rPr>
      </w:pPr>
      <w:r w:rsidRPr="006A7674">
        <w:rPr>
          <w:rFonts w:ascii="Bookman Old Style" w:hAnsi="Bookman Old Style"/>
          <w:sz w:val="22"/>
          <w:szCs w:val="22"/>
        </w:rPr>
        <w:lastRenderedPageBreak/>
        <w:t>2. In caso di soccombenza reciproca</w:t>
      </w:r>
      <w:r w:rsidR="001B5B82" w:rsidRPr="006A7674">
        <w:rPr>
          <w:rStyle w:val="Rimandonotaapidipagina"/>
          <w:rFonts w:ascii="Bookman Old Style" w:hAnsi="Bookman Old Style"/>
          <w:sz w:val="22"/>
          <w:szCs w:val="22"/>
        </w:rPr>
        <w:footnoteReference w:id="15"/>
      </w:r>
      <w:r w:rsidRPr="006A7674">
        <w:rPr>
          <w:rFonts w:ascii="Bookman Old Style" w:hAnsi="Bookman Old Style"/>
          <w:sz w:val="22"/>
          <w:szCs w:val="22"/>
        </w:rPr>
        <w:t xml:space="preserve"> la definizione può avvenire col pagamento dei seguenti importi:</w:t>
      </w:r>
    </w:p>
    <w:p w14:paraId="452EBE68" w14:textId="77777777" w:rsidR="006F52E3" w:rsidRPr="006A7674" w:rsidRDefault="006F52E3" w:rsidP="006A7674">
      <w:pPr>
        <w:pStyle w:val="testo"/>
        <w:numPr>
          <w:ilvl w:val="0"/>
          <w:numId w:val="1"/>
        </w:numPr>
        <w:spacing w:after="80" w:line="288" w:lineRule="auto"/>
        <w:rPr>
          <w:rFonts w:ascii="Bookman Old Style" w:hAnsi="Bookman Old Style"/>
          <w:spacing w:val="4"/>
          <w:sz w:val="22"/>
          <w:szCs w:val="22"/>
        </w:rPr>
      </w:pPr>
      <w:r w:rsidRPr="006A7674">
        <w:rPr>
          <w:rFonts w:ascii="Bookman Old Style" w:hAnsi="Bookman Old Style"/>
          <w:spacing w:val="4"/>
          <w:sz w:val="22"/>
          <w:szCs w:val="22"/>
        </w:rPr>
        <w:t>il 100% del</w:t>
      </w:r>
      <w:r w:rsidR="0035199A" w:rsidRPr="006A7674">
        <w:rPr>
          <w:rFonts w:ascii="Bookman Old Style" w:hAnsi="Bookman Old Style"/>
          <w:spacing w:val="4"/>
          <w:sz w:val="22"/>
          <w:szCs w:val="22"/>
        </w:rPr>
        <w:t xml:space="preserve"> valore della controversia, relativamente alla quota</w:t>
      </w:r>
      <w:r w:rsidRPr="006A7674">
        <w:rPr>
          <w:rFonts w:ascii="Bookman Old Style" w:hAnsi="Bookman Old Style"/>
          <w:spacing w:val="4"/>
          <w:sz w:val="22"/>
          <w:szCs w:val="22"/>
        </w:rPr>
        <w:t xml:space="preserve"> riconosciuta come dovuta</w:t>
      </w:r>
      <w:r w:rsidR="002E36C8" w:rsidRPr="006A7674">
        <w:rPr>
          <w:rFonts w:ascii="Bookman Old Style" w:hAnsi="Bookman Old Style"/>
          <w:spacing w:val="4"/>
          <w:sz w:val="22"/>
          <w:szCs w:val="22"/>
        </w:rPr>
        <w:t xml:space="preserve"> al Comune impositore</w:t>
      </w:r>
      <w:r w:rsidR="002E36C8" w:rsidRPr="006A7674">
        <w:rPr>
          <w:rStyle w:val="Rimandonotaapidipagina"/>
          <w:rFonts w:ascii="Bookman Old Style" w:hAnsi="Bookman Old Style"/>
          <w:spacing w:val="4"/>
          <w:sz w:val="22"/>
          <w:szCs w:val="22"/>
        </w:rPr>
        <w:footnoteReference w:id="16"/>
      </w:r>
      <w:r w:rsidRPr="006A7674">
        <w:rPr>
          <w:rFonts w:ascii="Bookman Old Style" w:hAnsi="Bookman Old Style"/>
          <w:spacing w:val="4"/>
          <w:sz w:val="22"/>
          <w:szCs w:val="22"/>
        </w:rPr>
        <w:t>;</w:t>
      </w:r>
    </w:p>
    <w:p w14:paraId="2D4B7313" w14:textId="77777777" w:rsidR="0035199A" w:rsidRPr="006A7674" w:rsidRDefault="006F52E3" w:rsidP="006A7674">
      <w:pPr>
        <w:pStyle w:val="testo"/>
        <w:numPr>
          <w:ilvl w:val="0"/>
          <w:numId w:val="1"/>
        </w:numPr>
        <w:spacing w:after="80" w:line="288" w:lineRule="auto"/>
        <w:rPr>
          <w:rFonts w:ascii="Bookman Old Style" w:hAnsi="Bookman Old Style"/>
          <w:spacing w:val="4"/>
          <w:sz w:val="22"/>
          <w:szCs w:val="22"/>
        </w:rPr>
      </w:pPr>
      <w:r w:rsidRPr="006A7674">
        <w:rPr>
          <w:rFonts w:ascii="Bookman Old Style" w:hAnsi="Bookman Old Style"/>
          <w:spacing w:val="4"/>
          <w:sz w:val="22"/>
          <w:szCs w:val="22"/>
        </w:rPr>
        <w:t>il 40% del</w:t>
      </w:r>
      <w:r w:rsidR="0035199A" w:rsidRPr="006A7674">
        <w:rPr>
          <w:rFonts w:ascii="Bookman Old Style" w:hAnsi="Bookman Old Style"/>
          <w:spacing w:val="4"/>
          <w:sz w:val="22"/>
          <w:szCs w:val="22"/>
        </w:rPr>
        <w:t xml:space="preserve"> valore della controversia, relativamente alla quota riconosciuta come non dovuta</w:t>
      </w:r>
      <w:r w:rsidR="001B5B82" w:rsidRPr="006A7674">
        <w:rPr>
          <w:rFonts w:ascii="Bookman Old Style" w:hAnsi="Bookman Old Style"/>
          <w:spacing w:val="4"/>
          <w:sz w:val="22"/>
          <w:szCs w:val="22"/>
        </w:rPr>
        <w:t xml:space="preserve">, nel caso in cui l’ultima </w:t>
      </w:r>
      <w:r w:rsidR="00E010ED" w:rsidRPr="006A7674">
        <w:rPr>
          <w:rFonts w:ascii="Bookman Old Style" w:hAnsi="Bookman Old Style"/>
          <w:spacing w:val="4"/>
          <w:sz w:val="22"/>
          <w:szCs w:val="22"/>
        </w:rPr>
        <w:t>pronuncia</w:t>
      </w:r>
      <w:r w:rsidR="0035199A" w:rsidRPr="006A7674">
        <w:rPr>
          <w:rFonts w:ascii="Bookman Old Style" w:hAnsi="Bookman Old Style"/>
          <w:spacing w:val="4"/>
          <w:sz w:val="22"/>
          <w:szCs w:val="22"/>
        </w:rPr>
        <w:t>, non cautelare, depositata sia di primo grado;</w:t>
      </w:r>
    </w:p>
    <w:p w14:paraId="428A6AD5" w14:textId="77777777" w:rsidR="0035199A" w:rsidRPr="006A7674" w:rsidRDefault="0035199A" w:rsidP="006A7674">
      <w:pPr>
        <w:pStyle w:val="testo"/>
        <w:numPr>
          <w:ilvl w:val="0"/>
          <w:numId w:val="1"/>
        </w:numPr>
        <w:spacing w:after="80" w:line="288" w:lineRule="auto"/>
        <w:rPr>
          <w:rFonts w:ascii="Bookman Old Style" w:hAnsi="Bookman Old Style"/>
          <w:spacing w:val="4"/>
          <w:sz w:val="22"/>
          <w:szCs w:val="22"/>
        </w:rPr>
      </w:pPr>
      <w:r w:rsidRPr="006A7674">
        <w:rPr>
          <w:rFonts w:ascii="Bookman Old Style" w:hAnsi="Bookman Old Style"/>
          <w:spacing w:val="4"/>
          <w:sz w:val="22"/>
          <w:szCs w:val="22"/>
        </w:rPr>
        <w:t xml:space="preserve">il 15% del valore della controversia, relativamente alla quota riconosciuta come non dovuta, </w:t>
      </w:r>
      <w:r w:rsidR="001B5B82" w:rsidRPr="006A7674">
        <w:rPr>
          <w:rFonts w:ascii="Bookman Old Style" w:hAnsi="Bookman Old Style"/>
          <w:spacing w:val="4"/>
          <w:sz w:val="22"/>
          <w:szCs w:val="22"/>
        </w:rPr>
        <w:t xml:space="preserve">nel caso in cui </w:t>
      </w:r>
      <w:r w:rsidRPr="006A7674">
        <w:rPr>
          <w:rFonts w:ascii="Bookman Old Style" w:hAnsi="Bookman Old Style"/>
          <w:spacing w:val="4"/>
          <w:sz w:val="22"/>
          <w:szCs w:val="22"/>
        </w:rPr>
        <w:t>l’ultima</w:t>
      </w:r>
      <w:r w:rsidR="00E010ED" w:rsidRPr="006A7674">
        <w:rPr>
          <w:rFonts w:ascii="Bookman Old Style" w:hAnsi="Bookman Old Style"/>
          <w:spacing w:val="4"/>
          <w:sz w:val="22"/>
          <w:szCs w:val="22"/>
        </w:rPr>
        <w:t xml:space="preserve"> pronuncia</w:t>
      </w:r>
      <w:r w:rsidRPr="006A7674">
        <w:rPr>
          <w:rFonts w:ascii="Bookman Old Style" w:hAnsi="Bookman Old Style"/>
          <w:spacing w:val="4"/>
          <w:sz w:val="22"/>
          <w:szCs w:val="22"/>
        </w:rPr>
        <w:t>, non cautelare, depositata sia di secondo grado</w:t>
      </w:r>
      <w:r w:rsidR="001B5B82" w:rsidRPr="006A7674">
        <w:rPr>
          <w:rFonts w:ascii="Bookman Old Style" w:hAnsi="Bookman Old Style"/>
          <w:spacing w:val="4"/>
          <w:sz w:val="22"/>
          <w:szCs w:val="22"/>
        </w:rPr>
        <w:t>.</w:t>
      </w:r>
    </w:p>
    <w:p w14:paraId="5331396E" w14:textId="07AE74BF" w:rsidR="00E010ED" w:rsidRPr="006A7674" w:rsidRDefault="00CE4B7F"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3</w:t>
      </w:r>
      <w:r w:rsidR="00E010ED" w:rsidRPr="006A7674">
        <w:rPr>
          <w:rFonts w:ascii="Bookman Old Style" w:hAnsi="Bookman Old Style"/>
          <w:spacing w:val="4"/>
          <w:sz w:val="22"/>
          <w:szCs w:val="22"/>
        </w:rPr>
        <w:t>. Per la definizione delle controversie relative esclusivamente alle sanzioni non collegate al tributo</w:t>
      </w:r>
      <w:r w:rsidR="003C6D2A">
        <w:rPr>
          <w:rFonts w:ascii="Bookman Old Style" w:hAnsi="Bookman Old Style"/>
          <w:spacing w:val="4"/>
          <w:sz w:val="22"/>
          <w:szCs w:val="22"/>
        </w:rPr>
        <w:t xml:space="preserve">, sono </w:t>
      </w:r>
      <w:r w:rsidR="003C6D2A" w:rsidRPr="006A7674">
        <w:rPr>
          <w:rFonts w:ascii="Bookman Old Style" w:hAnsi="Bookman Old Style"/>
          <w:spacing w:val="4"/>
          <w:sz w:val="22"/>
          <w:szCs w:val="22"/>
        </w:rPr>
        <w:t>dovut</w:t>
      </w:r>
      <w:r w:rsidR="003C6D2A">
        <w:rPr>
          <w:rFonts w:ascii="Bookman Old Style" w:hAnsi="Bookman Old Style"/>
          <w:spacing w:val="4"/>
          <w:sz w:val="22"/>
          <w:szCs w:val="22"/>
        </w:rPr>
        <w:t>i i seguenti importi</w:t>
      </w:r>
      <w:r w:rsidR="00212E82">
        <w:rPr>
          <w:rStyle w:val="Rimandonotaapidipagina"/>
          <w:rFonts w:ascii="Bookman Old Style" w:hAnsi="Bookman Old Style"/>
          <w:spacing w:val="4"/>
          <w:sz w:val="22"/>
          <w:szCs w:val="22"/>
        </w:rPr>
        <w:footnoteReference w:id="17"/>
      </w:r>
      <w:r w:rsidR="00E010ED" w:rsidRPr="006A7674">
        <w:rPr>
          <w:rFonts w:ascii="Bookman Old Style" w:hAnsi="Bookman Old Style"/>
          <w:spacing w:val="4"/>
          <w:sz w:val="22"/>
          <w:szCs w:val="22"/>
        </w:rPr>
        <w:t>:</w:t>
      </w:r>
    </w:p>
    <w:p w14:paraId="227518D0" w14:textId="77777777" w:rsidR="00E010ED" w:rsidRPr="006A7674" w:rsidRDefault="00E010ED" w:rsidP="006A7674">
      <w:pPr>
        <w:pStyle w:val="testo"/>
        <w:numPr>
          <w:ilvl w:val="0"/>
          <w:numId w:val="1"/>
        </w:numPr>
        <w:spacing w:after="80" w:line="288" w:lineRule="auto"/>
        <w:rPr>
          <w:rFonts w:ascii="Bookman Old Style" w:hAnsi="Bookman Old Style"/>
          <w:spacing w:val="4"/>
          <w:sz w:val="22"/>
          <w:szCs w:val="22"/>
        </w:rPr>
      </w:pPr>
      <w:r w:rsidRPr="006A7674">
        <w:rPr>
          <w:rFonts w:ascii="Bookman Old Style" w:hAnsi="Bookman Old Style"/>
          <w:spacing w:val="4"/>
          <w:sz w:val="22"/>
          <w:szCs w:val="22"/>
        </w:rPr>
        <w:t>il 15% del valore della controversia se il Comune impositore è risultato soccombente nell’ultima o unica pronuncia, non cautelare, depositata entro il 1° gennaio 2023;</w:t>
      </w:r>
    </w:p>
    <w:p w14:paraId="0145B3F7" w14:textId="77777777" w:rsidR="00E010ED" w:rsidRPr="006A7674" w:rsidRDefault="00E010ED" w:rsidP="006A7674">
      <w:pPr>
        <w:pStyle w:val="testo"/>
        <w:numPr>
          <w:ilvl w:val="0"/>
          <w:numId w:val="1"/>
        </w:numPr>
        <w:spacing w:after="80" w:line="288" w:lineRule="auto"/>
        <w:rPr>
          <w:rFonts w:ascii="Bookman Old Style" w:hAnsi="Bookman Old Style"/>
          <w:spacing w:val="4"/>
          <w:sz w:val="22"/>
          <w:szCs w:val="22"/>
        </w:rPr>
      </w:pPr>
      <w:r w:rsidRPr="006A7674">
        <w:rPr>
          <w:rFonts w:ascii="Bookman Old Style" w:hAnsi="Bookman Old Style"/>
          <w:spacing w:val="4"/>
          <w:sz w:val="22"/>
          <w:szCs w:val="22"/>
        </w:rPr>
        <w:t>il 40% del valore della controversia negli altri casi</w:t>
      </w:r>
      <w:r w:rsidRPr="006A7674">
        <w:rPr>
          <w:rStyle w:val="Rimandonotaapidipagina"/>
          <w:rFonts w:ascii="Bookman Old Style" w:hAnsi="Bookman Old Style"/>
          <w:spacing w:val="4"/>
          <w:sz w:val="22"/>
          <w:szCs w:val="22"/>
        </w:rPr>
        <w:footnoteReference w:id="18"/>
      </w:r>
      <w:r w:rsidR="00EB2E67" w:rsidRPr="006A7674">
        <w:rPr>
          <w:rFonts w:ascii="Bookman Old Style" w:hAnsi="Bookman Old Style"/>
          <w:spacing w:val="4"/>
          <w:sz w:val="22"/>
          <w:szCs w:val="22"/>
        </w:rPr>
        <w:t>;</w:t>
      </w:r>
    </w:p>
    <w:p w14:paraId="6A15BA62" w14:textId="77777777" w:rsidR="00EB2E67" w:rsidRPr="006A7674" w:rsidRDefault="00EB2E67" w:rsidP="006A7674">
      <w:pPr>
        <w:pStyle w:val="testo"/>
        <w:numPr>
          <w:ilvl w:val="0"/>
          <w:numId w:val="1"/>
        </w:numPr>
        <w:spacing w:after="80" w:line="288" w:lineRule="auto"/>
        <w:rPr>
          <w:rFonts w:ascii="Bookman Old Style" w:hAnsi="Bookman Old Style"/>
          <w:spacing w:val="4"/>
          <w:sz w:val="22"/>
          <w:szCs w:val="22"/>
        </w:rPr>
      </w:pPr>
      <w:r w:rsidRPr="006A7674">
        <w:rPr>
          <w:rFonts w:ascii="Bookman Old Style" w:hAnsi="Bookman Old Style"/>
          <w:spacing w:val="4"/>
          <w:sz w:val="22"/>
          <w:szCs w:val="22"/>
        </w:rPr>
        <w:t>in caso di soccombenza parziale, è dovuto il 15% del valore della controversia per la parte in cui è risultato soccombente il Comune impositore, ed il 40% per la restante parte.</w:t>
      </w:r>
    </w:p>
    <w:p w14:paraId="5E9C2F85" w14:textId="77777777" w:rsidR="0035199A" w:rsidRPr="006A7674" w:rsidRDefault="00CE4B7F"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4</w:t>
      </w:r>
      <w:r w:rsidR="006F52E3" w:rsidRPr="006A7674">
        <w:rPr>
          <w:rFonts w:ascii="Bookman Old Style" w:hAnsi="Bookman Old Style"/>
          <w:spacing w:val="4"/>
          <w:sz w:val="22"/>
          <w:szCs w:val="22"/>
        </w:rPr>
        <w:t>.</w:t>
      </w:r>
      <w:r w:rsidR="0035199A" w:rsidRPr="006A7674">
        <w:rPr>
          <w:rFonts w:ascii="Bookman Old Style" w:hAnsi="Bookman Old Style"/>
          <w:spacing w:val="4"/>
          <w:sz w:val="22"/>
          <w:szCs w:val="22"/>
        </w:rPr>
        <w:t xml:space="preserve"> Il valore della</w:t>
      </w:r>
      <w:r w:rsidR="002A2189" w:rsidRPr="006A7674">
        <w:rPr>
          <w:rFonts w:ascii="Bookman Old Style" w:hAnsi="Bookman Old Style"/>
          <w:spacing w:val="4"/>
          <w:sz w:val="22"/>
          <w:szCs w:val="22"/>
        </w:rPr>
        <w:t xml:space="preserve"> controversia</w:t>
      </w:r>
      <w:r w:rsidR="0035199A" w:rsidRPr="006A7674">
        <w:rPr>
          <w:rFonts w:ascii="Bookman Old Style" w:hAnsi="Bookman Old Style"/>
          <w:spacing w:val="4"/>
          <w:sz w:val="22"/>
          <w:szCs w:val="22"/>
        </w:rPr>
        <w:t xml:space="preserve">, da assumere </w:t>
      </w:r>
      <w:r w:rsidR="002A2189" w:rsidRPr="006A7674">
        <w:rPr>
          <w:rFonts w:ascii="Bookman Old Style" w:hAnsi="Bookman Old Style"/>
          <w:spacing w:val="4"/>
          <w:sz w:val="22"/>
          <w:szCs w:val="22"/>
        </w:rPr>
        <w:t xml:space="preserve">ai fini della </w:t>
      </w:r>
      <w:r w:rsidR="0035199A" w:rsidRPr="006A7674">
        <w:rPr>
          <w:rFonts w:ascii="Bookman Old Style" w:hAnsi="Bookman Old Style"/>
          <w:spacing w:val="4"/>
          <w:sz w:val="22"/>
          <w:szCs w:val="22"/>
        </w:rPr>
        <w:t>definizione, è dato dall'importo dell'imposta che ha formato oggetto di contestazione in primo grado, al netto degli interessi, delle indennità di mora e delle eventuali sanzioni collegate al tributo, comunque irrogate. In caso di liti relative all’irrogazione di sanzioni</w:t>
      </w:r>
      <w:r w:rsidR="00195113">
        <w:rPr>
          <w:rFonts w:ascii="Bookman Old Style" w:hAnsi="Bookman Old Style"/>
          <w:spacing w:val="4"/>
          <w:sz w:val="22"/>
          <w:szCs w:val="22"/>
        </w:rPr>
        <w:t>,</w:t>
      </w:r>
      <w:r w:rsidR="0035199A" w:rsidRPr="006A7674">
        <w:rPr>
          <w:rFonts w:ascii="Bookman Old Style" w:hAnsi="Bookman Old Style"/>
          <w:spacing w:val="4"/>
          <w:sz w:val="22"/>
          <w:szCs w:val="22"/>
        </w:rPr>
        <w:t xml:space="preserve"> il valore della lite è dato dall’ammontare delle sanzioni</w:t>
      </w:r>
      <w:r w:rsidR="001F187C" w:rsidRPr="006A7674">
        <w:rPr>
          <w:rStyle w:val="Rimandonotaapidipagina"/>
          <w:rFonts w:ascii="Bookman Old Style" w:hAnsi="Bookman Old Style"/>
          <w:spacing w:val="4"/>
          <w:sz w:val="22"/>
          <w:szCs w:val="22"/>
        </w:rPr>
        <w:footnoteReference w:id="19"/>
      </w:r>
      <w:r w:rsidR="0035199A" w:rsidRPr="006A7674">
        <w:rPr>
          <w:rFonts w:ascii="Bookman Old Style" w:hAnsi="Bookman Old Style"/>
          <w:spacing w:val="4"/>
          <w:sz w:val="22"/>
          <w:szCs w:val="22"/>
        </w:rPr>
        <w:t xml:space="preserve">. </w:t>
      </w:r>
    </w:p>
    <w:p w14:paraId="28D7F887" w14:textId="77777777" w:rsidR="006F52E3" w:rsidRPr="006A7674" w:rsidRDefault="00CE4B7F" w:rsidP="006A7674">
      <w:pPr>
        <w:pStyle w:val="Rientrocorpode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lastRenderedPageBreak/>
        <w:t>5</w:t>
      </w:r>
      <w:r w:rsidR="006F52E3" w:rsidRPr="006A7674">
        <w:rPr>
          <w:rFonts w:ascii="Bookman Old Style" w:hAnsi="Bookman Old Style"/>
          <w:spacing w:val="4"/>
          <w:sz w:val="22"/>
          <w:szCs w:val="22"/>
        </w:rPr>
        <w:t>. Dagli importi dovuti in base ai precedenti commi sono scomputati quelli versati, a qualsiasi titolo, in pendenza di giudizio. La definizione non dà comunque luogo alla restituzione delle somme già versate</w:t>
      </w:r>
      <w:r w:rsidR="002E36C8" w:rsidRPr="006A7674">
        <w:rPr>
          <w:rFonts w:ascii="Bookman Old Style" w:hAnsi="Bookman Old Style"/>
          <w:spacing w:val="4"/>
          <w:sz w:val="22"/>
          <w:szCs w:val="22"/>
        </w:rPr>
        <w:t>,</w:t>
      </w:r>
      <w:r w:rsidR="006F52E3" w:rsidRPr="006A7674">
        <w:rPr>
          <w:rFonts w:ascii="Bookman Old Style" w:hAnsi="Bookman Old Style"/>
          <w:spacing w:val="4"/>
          <w:sz w:val="22"/>
          <w:szCs w:val="22"/>
        </w:rPr>
        <w:t xml:space="preserve"> se eccedenti rispetto a quanto dovuto per la definizione.</w:t>
      </w:r>
    </w:p>
    <w:p w14:paraId="00662C83" w14:textId="77777777" w:rsidR="006F52E3" w:rsidRPr="006A7674" w:rsidRDefault="00CE4B7F" w:rsidP="006A7674">
      <w:pPr>
        <w:pStyle w:val="Rientrocorpodeltesto"/>
        <w:spacing w:after="80" w:line="288" w:lineRule="auto"/>
        <w:rPr>
          <w:rFonts w:ascii="Bookman Old Style" w:hAnsi="Bookman Old Style"/>
          <w:sz w:val="22"/>
          <w:szCs w:val="22"/>
        </w:rPr>
      </w:pPr>
      <w:r w:rsidRPr="006A7674">
        <w:rPr>
          <w:rFonts w:ascii="Bookman Old Style" w:hAnsi="Bookman Old Style"/>
          <w:sz w:val="22"/>
          <w:szCs w:val="22"/>
        </w:rPr>
        <w:t>6</w:t>
      </w:r>
      <w:r w:rsidR="006F52E3" w:rsidRPr="006A7674">
        <w:rPr>
          <w:rFonts w:ascii="Bookman Old Style" w:hAnsi="Bookman Old Style"/>
          <w:sz w:val="22"/>
          <w:szCs w:val="22"/>
        </w:rPr>
        <w:t>. Gli importi dovuti, di cui ai precedenti commi, sono liquidati direttamente dal contribuente.</w:t>
      </w:r>
    </w:p>
    <w:p w14:paraId="6AC64C6B" w14:textId="77777777" w:rsidR="006F52E3" w:rsidRPr="006A7674" w:rsidRDefault="007061FA" w:rsidP="006A7674">
      <w:pPr>
        <w:pStyle w:val="Rientrocorpodeltesto"/>
        <w:spacing w:after="80" w:line="288" w:lineRule="auto"/>
        <w:rPr>
          <w:rFonts w:ascii="Bookman Old Style" w:hAnsi="Bookman Old Style"/>
          <w:sz w:val="22"/>
          <w:szCs w:val="22"/>
        </w:rPr>
      </w:pPr>
      <w:r w:rsidRPr="006A7674">
        <w:rPr>
          <w:rFonts w:ascii="Bookman Old Style" w:hAnsi="Bookman Old Style"/>
          <w:sz w:val="22"/>
          <w:szCs w:val="22"/>
        </w:rPr>
        <w:t>7</w:t>
      </w:r>
      <w:r w:rsidR="006F52E3" w:rsidRPr="006A7674">
        <w:rPr>
          <w:rFonts w:ascii="Bookman Old Style" w:hAnsi="Bookman Old Style"/>
          <w:sz w:val="22"/>
          <w:szCs w:val="22"/>
        </w:rPr>
        <w:t>. Qualora non ci siano importi da versare, la definizione si perfeziona con la sola presentazione della domanda.</w:t>
      </w:r>
    </w:p>
    <w:p w14:paraId="546E92DE" w14:textId="77777777" w:rsidR="006F52E3" w:rsidRPr="006A7674" w:rsidRDefault="007061FA" w:rsidP="006A7674">
      <w:pPr>
        <w:pStyle w:val="Rientrocorpodeltesto"/>
        <w:spacing w:after="80" w:line="288" w:lineRule="auto"/>
        <w:rPr>
          <w:rFonts w:ascii="Bookman Old Style" w:hAnsi="Bookman Old Style"/>
          <w:sz w:val="22"/>
          <w:szCs w:val="22"/>
        </w:rPr>
      </w:pPr>
      <w:r w:rsidRPr="006A7674">
        <w:rPr>
          <w:rFonts w:ascii="Bookman Old Style" w:hAnsi="Bookman Old Style"/>
          <w:sz w:val="22"/>
          <w:szCs w:val="22"/>
        </w:rPr>
        <w:t>8</w:t>
      </w:r>
      <w:r w:rsidR="006F52E3" w:rsidRPr="006A7674">
        <w:rPr>
          <w:rFonts w:ascii="Bookman Old Style" w:hAnsi="Bookman Old Style"/>
          <w:sz w:val="22"/>
          <w:szCs w:val="22"/>
        </w:rPr>
        <w:t>. Nel caso in cui sia stata attivata la riscossione coattiva degli importi in contenzioso ed il contribuente non abbia pagato tali importi, il perfezionamento della definizione costituisce titolo per ottenere lo sgravio del ruolo (</w:t>
      </w:r>
      <w:r w:rsidR="006F52E3" w:rsidRPr="006A7674">
        <w:rPr>
          <w:rFonts w:ascii="Bookman Old Style" w:hAnsi="Bookman Old Style"/>
          <w:i/>
          <w:sz w:val="22"/>
          <w:szCs w:val="22"/>
        </w:rPr>
        <w:t>o dell’ingiunzione di pagamento</w:t>
      </w:r>
      <w:r w:rsidRPr="006A7674">
        <w:rPr>
          <w:rFonts w:ascii="Bookman Old Style" w:hAnsi="Bookman Old Style"/>
          <w:i/>
          <w:sz w:val="22"/>
          <w:szCs w:val="22"/>
        </w:rPr>
        <w:t xml:space="preserve"> o del carico relativo all’accertamento esecutivo</w:t>
      </w:r>
      <w:r w:rsidR="006F52E3" w:rsidRPr="006A7674">
        <w:rPr>
          <w:rFonts w:ascii="Bookman Old Style" w:hAnsi="Bookman Old Style"/>
          <w:sz w:val="22"/>
          <w:szCs w:val="22"/>
        </w:rPr>
        <w:t>).</w:t>
      </w:r>
    </w:p>
    <w:p w14:paraId="31052963" w14:textId="77777777" w:rsidR="006F52E3" w:rsidRPr="006A7674" w:rsidRDefault="006F52E3" w:rsidP="006A7674">
      <w:pPr>
        <w:pStyle w:val="Rientrocorpodeltesto"/>
        <w:spacing w:after="80" w:line="288" w:lineRule="auto"/>
        <w:rPr>
          <w:rFonts w:ascii="Bookman Old Style" w:hAnsi="Bookman Old Style"/>
          <w:sz w:val="22"/>
          <w:szCs w:val="22"/>
        </w:rPr>
      </w:pPr>
    </w:p>
    <w:p w14:paraId="2E119388" w14:textId="77777777" w:rsidR="006F52E3" w:rsidRPr="006A7674" w:rsidRDefault="006F52E3" w:rsidP="006A7674">
      <w:pPr>
        <w:pStyle w:val="Titolo3"/>
        <w:spacing w:after="80" w:line="288" w:lineRule="auto"/>
        <w:jc w:val="left"/>
        <w:rPr>
          <w:rFonts w:ascii="Bookman Old Style" w:hAnsi="Bookman Old Style"/>
          <w:sz w:val="22"/>
          <w:szCs w:val="22"/>
        </w:rPr>
      </w:pPr>
      <w:bookmarkStart w:id="7" w:name="_Toc128489459"/>
      <w:r w:rsidRPr="006A7674">
        <w:rPr>
          <w:rFonts w:ascii="Bookman Old Style" w:hAnsi="Bookman Old Style"/>
          <w:sz w:val="22"/>
          <w:szCs w:val="22"/>
        </w:rPr>
        <w:t>Articolo 5 – Perfezionamento della definizione</w:t>
      </w:r>
      <w:bookmarkEnd w:id="7"/>
    </w:p>
    <w:p w14:paraId="735596B4" w14:textId="77777777" w:rsidR="002351C2" w:rsidRPr="006A7674" w:rsidRDefault="006F52E3"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1. La definizione agevolata delle controversie tributarie pendenti si perfeziona co</w:t>
      </w:r>
      <w:r w:rsidR="002351C2" w:rsidRPr="006A7674">
        <w:rPr>
          <w:rFonts w:ascii="Bookman Old Style" w:hAnsi="Bookman Old Style"/>
          <w:spacing w:val="4"/>
          <w:sz w:val="22"/>
          <w:szCs w:val="22"/>
        </w:rPr>
        <w:t>n la presentazione della domanda di cui all’articolo 3, comma 1, e con il</w:t>
      </w:r>
      <w:r w:rsidRPr="006A7674">
        <w:rPr>
          <w:rFonts w:ascii="Bookman Old Style" w:hAnsi="Bookman Old Style"/>
          <w:spacing w:val="4"/>
          <w:sz w:val="22"/>
          <w:szCs w:val="22"/>
        </w:rPr>
        <w:t xml:space="preserve"> pagamento </w:t>
      </w:r>
      <w:r w:rsidR="002351C2" w:rsidRPr="006A7674">
        <w:rPr>
          <w:rFonts w:ascii="Bookman Old Style" w:hAnsi="Bookman Old Style"/>
          <w:spacing w:val="4"/>
          <w:sz w:val="22"/>
          <w:szCs w:val="22"/>
        </w:rPr>
        <w:t>degli importi dovuti ai sensi dell’articolo 4, entro il 30 giugno 2023</w:t>
      </w:r>
      <w:r w:rsidRPr="006A7674">
        <w:rPr>
          <w:rFonts w:ascii="Bookman Old Style" w:hAnsi="Bookman Old Style"/>
          <w:spacing w:val="4"/>
          <w:sz w:val="22"/>
          <w:szCs w:val="22"/>
        </w:rPr>
        <w:t xml:space="preserve">. </w:t>
      </w:r>
    </w:p>
    <w:p w14:paraId="3583707A" w14:textId="77777777" w:rsidR="002351C2" w:rsidRPr="006A7674" w:rsidRDefault="002351C2"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 xml:space="preserve">2. </w:t>
      </w:r>
      <w:r w:rsidR="006F52E3" w:rsidRPr="006A7674">
        <w:rPr>
          <w:rFonts w:ascii="Bookman Old Style" w:hAnsi="Bookman Old Style"/>
          <w:spacing w:val="4"/>
          <w:sz w:val="22"/>
          <w:szCs w:val="22"/>
        </w:rPr>
        <w:t>Se l’importo dovuto è superiore a mille euro è ammesso il pagamento rateale, in un massimo di venti rate trimestrali</w:t>
      </w:r>
      <w:r w:rsidRPr="006A7674">
        <w:rPr>
          <w:rFonts w:ascii="Bookman Old Style" w:hAnsi="Bookman Old Style"/>
          <w:spacing w:val="4"/>
          <w:sz w:val="22"/>
          <w:szCs w:val="22"/>
        </w:rPr>
        <w:t xml:space="preserve"> di pari importo</w:t>
      </w:r>
      <w:r w:rsidR="006F52E3" w:rsidRPr="006A7674">
        <w:rPr>
          <w:rFonts w:ascii="Bookman Old Style" w:hAnsi="Bookman Old Style"/>
          <w:spacing w:val="4"/>
          <w:sz w:val="22"/>
          <w:szCs w:val="22"/>
        </w:rPr>
        <w:t xml:space="preserve">, </w:t>
      </w:r>
      <w:r w:rsidRPr="006A7674">
        <w:rPr>
          <w:rFonts w:ascii="Bookman Old Style" w:hAnsi="Bookman Old Style"/>
          <w:spacing w:val="4"/>
          <w:sz w:val="22"/>
          <w:szCs w:val="22"/>
        </w:rPr>
        <w:t>aventi scadenza il 31 marzo, il 30 giugno, il 30 settembre e 20 dicembre di ciascun anno. La prima rata deve essere versata entro il 30 giugno 2023</w:t>
      </w:r>
      <w:r w:rsidR="00CB2EBF" w:rsidRPr="006A7674">
        <w:rPr>
          <w:rStyle w:val="Rimandonotaapidipagina"/>
          <w:rFonts w:ascii="Bookman Old Style" w:hAnsi="Bookman Old Style"/>
          <w:spacing w:val="4"/>
          <w:sz w:val="22"/>
          <w:szCs w:val="22"/>
        </w:rPr>
        <w:footnoteReference w:id="20"/>
      </w:r>
      <w:r w:rsidRPr="006A7674">
        <w:rPr>
          <w:rFonts w:ascii="Bookman Old Style" w:hAnsi="Bookman Old Style"/>
          <w:spacing w:val="4"/>
          <w:sz w:val="22"/>
          <w:szCs w:val="22"/>
        </w:rPr>
        <w:t xml:space="preserve">. Sulle rate successive alla prima sono dovuti gli interessi legali calcolati dalla data del versamento della prima rata. La definizione agevolata </w:t>
      </w:r>
      <w:r w:rsidR="00145F8E" w:rsidRPr="006A7674">
        <w:rPr>
          <w:rFonts w:ascii="Bookman Old Style" w:hAnsi="Bookman Old Style"/>
          <w:spacing w:val="4"/>
          <w:sz w:val="22"/>
          <w:szCs w:val="22"/>
        </w:rPr>
        <w:t>si perfezion</w:t>
      </w:r>
      <w:r w:rsidR="00E672C0" w:rsidRPr="006A7674">
        <w:rPr>
          <w:rFonts w:ascii="Bookman Old Style" w:hAnsi="Bookman Old Style"/>
          <w:spacing w:val="4"/>
          <w:sz w:val="22"/>
          <w:szCs w:val="22"/>
        </w:rPr>
        <w:t>a</w:t>
      </w:r>
      <w:r w:rsidR="00145F8E" w:rsidRPr="006A7674">
        <w:rPr>
          <w:rFonts w:ascii="Bookman Old Style" w:hAnsi="Bookman Old Style"/>
          <w:spacing w:val="4"/>
          <w:sz w:val="22"/>
          <w:szCs w:val="22"/>
        </w:rPr>
        <w:t xml:space="preserve"> con la presentazione della domanda di cui all’articolo 3, comma 1, e con il pagamento degli importi dovuti con la prima rata in scadenza il 30 giugno 2023.</w:t>
      </w:r>
      <w:r w:rsidR="007F2707" w:rsidRPr="006A7674">
        <w:rPr>
          <w:rFonts w:ascii="Bookman Old Style" w:hAnsi="Bookman Old Style"/>
          <w:spacing w:val="4"/>
          <w:sz w:val="22"/>
          <w:szCs w:val="22"/>
        </w:rPr>
        <w:t xml:space="preserve"> In caso di mancato pagamento delle rate successive alla prima si rendono applicabili le disposizioni di cui all’articolo 8 del decreto legislativo 19 giugno 1997, n. 2018</w:t>
      </w:r>
      <w:r w:rsidR="007F2707" w:rsidRPr="006A7674">
        <w:rPr>
          <w:rStyle w:val="Rimandonotaapidipagina"/>
          <w:rFonts w:ascii="Bookman Old Style" w:hAnsi="Bookman Old Style"/>
          <w:spacing w:val="4"/>
          <w:sz w:val="22"/>
          <w:szCs w:val="22"/>
        </w:rPr>
        <w:footnoteReference w:id="21"/>
      </w:r>
      <w:r w:rsidR="00E672C0" w:rsidRPr="006A7674">
        <w:rPr>
          <w:rFonts w:ascii="Bookman Old Style" w:hAnsi="Bookman Old Style"/>
          <w:spacing w:val="4"/>
          <w:sz w:val="22"/>
          <w:szCs w:val="22"/>
        </w:rPr>
        <w:t>.</w:t>
      </w:r>
    </w:p>
    <w:p w14:paraId="0E7EC02E" w14:textId="77777777" w:rsidR="00145F8E" w:rsidRPr="006A7674" w:rsidRDefault="00145F8E"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lastRenderedPageBreak/>
        <w:t>3. Qualora, ai sensi dell’articolo 4, non ci siano importi da versare, la definizione si perfeziona con la sola presentazione della domanda</w:t>
      </w:r>
      <w:r w:rsidRPr="006A7674">
        <w:rPr>
          <w:rStyle w:val="Rimandonotaapidipagina"/>
          <w:rFonts w:ascii="Bookman Old Style" w:hAnsi="Bookman Old Style"/>
          <w:spacing w:val="4"/>
          <w:sz w:val="22"/>
          <w:szCs w:val="22"/>
        </w:rPr>
        <w:footnoteReference w:id="22"/>
      </w:r>
      <w:r w:rsidR="00E67BA0" w:rsidRPr="006A7674">
        <w:rPr>
          <w:rFonts w:ascii="Bookman Old Style" w:hAnsi="Bookman Old Style"/>
          <w:spacing w:val="4"/>
          <w:sz w:val="22"/>
          <w:szCs w:val="22"/>
        </w:rPr>
        <w:t>.</w:t>
      </w:r>
    </w:p>
    <w:p w14:paraId="2F9F5F9B" w14:textId="77777777" w:rsidR="002C419E" w:rsidRPr="006A7674" w:rsidRDefault="00E67BA0"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4</w:t>
      </w:r>
      <w:r w:rsidR="002351C2" w:rsidRPr="006A7674">
        <w:rPr>
          <w:rFonts w:ascii="Bookman Old Style" w:hAnsi="Bookman Old Style"/>
          <w:spacing w:val="4"/>
          <w:sz w:val="22"/>
          <w:szCs w:val="22"/>
        </w:rPr>
        <w:t xml:space="preserve">. </w:t>
      </w:r>
      <w:r w:rsidRPr="006A7674">
        <w:rPr>
          <w:rFonts w:ascii="Bookman Old Style" w:hAnsi="Bookman Old Style"/>
          <w:spacing w:val="4"/>
          <w:sz w:val="22"/>
          <w:szCs w:val="22"/>
        </w:rPr>
        <w:t>È</w:t>
      </w:r>
      <w:r w:rsidR="002351C2" w:rsidRPr="006A7674">
        <w:rPr>
          <w:rFonts w:ascii="Bookman Old Style" w:hAnsi="Bookman Old Style"/>
          <w:spacing w:val="4"/>
          <w:sz w:val="22"/>
          <w:szCs w:val="22"/>
        </w:rPr>
        <w:t xml:space="preserve"> esclus</w:t>
      </w:r>
      <w:r w:rsidR="002C419E" w:rsidRPr="006A7674">
        <w:rPr>
          <w:rFonts w:ascii="Bookman Old Style" w:hAnsi="Bookman Old Style"/>
          <w:spacing w:val="4"/>
          <w:sz w:val="22"/>
          <w:szCs w:val="22"/>
        </w:rPr>
        <w:t>a la compensazione prevista dall’articolo 17 del decreto legislativo 9 luglio 1997, n. 241</w:t>
      </w:r>
      <w:r w:rsidRPr="006A7674">
        <w:rPr>
          <w:rFonts w:ascii="Bookman Old Style" w:hAnsi="Bookman Old Style"/>
          <w:spacing w:val="4"/>
          <w:sz w:val="22"/>
          <w:szCs w:val="22"/>
        </w:rPr>
        <w:t>.</w:t>
      </w:r>
    </w:p>
    <w:p w14:paraId="10238E4F" w14:textId="77777777" w:rsidR="006F52E3" w:rsidRPr="006A7674" w:rsidRDefault="00E67BA0"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5</w:t>
      </w:r>
      <w:r w:rsidR="006F52E3" w:rsidRPr="006A7674">
        <w:rPr>
          <w:rFonts w:ascii="Bookman Old Style" w:hAnsi="Bookman Old Style"/>
          <w:spacing w:val="4"/>
          <w:sz w:val="22"/>
          <w:szCs w:val="22"/>
        </w:rPr>
        <w:t>. Il contribuente deve effettuare il versamento degli importi d</w:t>
      </w:r>
      <w:r w:rsidRPr="006A7674">
        <w:rPr>
          <w:rFonts w:ascii="Bookman Old Style" w:hAnsi="Bookman Old Style"/>
          <w:spacing w:val="4"/>
          <w:sz w:val="22"/>
          <w:szCs w:val="22"/>
        </w:rPr>
        <w:t xml:space="preserve">ovuti </w:t>
      </w:r>
      <w:r w:rsidR="006F52E3" w:rsidRPr="006A7674">
        <w:rPr>
          <w:rFonts w:ascii="Bookman Old Style" w:hAnsi="Bookman Old Style"/>
          <w:spacing w:val="4"/>
          <w:sz w:val="22"/>
          <w:szCs w:val="22"/>
        </w:rPr>
        <w:t>con riferimento ad ogni singolo atto impugnato. Nel modello di domanda, di cui all’articolo 3</w:t>
      </w:r>
      <w:r w:rsidR="002E36C8" w:rsidRPr="006A7674">
        <w:rPr>
          <w:rFonts w:ascii="Bookman Old Style" w:hAnsi="Bookman Old Style"/>
          <w:spacing w:val="4"/>
          <w:sz w:val="22"/>
          <w:szCs w:val="22"/>
        </w:rPr>
        <w:t>,</w:t>
      </w:r>
      <w:r w:rsidR="006F52E3" w:rsidRPr="006A7674">
        <w:rPr>
          <w:rFonts w:ascii="Bookman Old Style" w:hAnsi="Bookman Old Style"/>
          <w:spacing w:val="4"/>
          <w:sz w:val="22"/>
          <w:szCs w:val="22"/>
        </w:rPr>
        <w:t xml:space="preserve"> saranno rese note anche le modalità di pagamento con riferimento a ciascun tributo comunale.</w:t>
      </w:r>
    </w:p>
    <w:p w14:paraId="3F172DBD" w14:textId="77777777" w:rsidR="006F3C21" w:rsidRPr="006A7674" w:rsidRDefault="006F3C21"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6. La definizione agevolata perfezionata dal coobbligato giova in favore degli altri, compresi quelli per i quali la controversia non sia più pendente.</w:t>
      </w:r>
    </w:p>
    <w:p w14:paraId="7742789C" w14:textId="77777777" w:rsidR="006F52E3" w:rsidRPr="006A7674" w:rsidRDefault="006F52E3" w:rsidP="006A7674">
      <w:pPr>
        <w:pStyle w:val="testo"/>
        <w:spacing w:after="80" w:line="288" w:lineRule="auto"/>
        <w:ind w:firstLine="0"/>
        <w:rPr>
          <w:rFonts w:ascii="Bookman Old Style" w:hAnsi="Bookman Old Style"/>
          <w:spacing w:val="4"/>
          <w:sz w:val="22"/>
          <w:szCs w:val="22"/>
        </w:rPr>
      </w:pPr>
    </w:p>
    <w:p w14:paraId="4C19E76A" w14:textId="77777777" w:rsidR="006F52E3" w:rsidRPr="006A7674" w:rsidRDefault="006F52E3" w:rsidP="006A7674">
      <w:pPr>
        <w:pStyle w:val="Titolo3"/>
        <w:spacing w:after="80" w:line="288" w:lineRule="auto"/>
        <w:jc w:val="left"/>
        <w:rPr>
          <w:rFonts w:ascii="Bookman Old Style" w:hAnsi="Bookman Old Style"/>
          <w:sz w:val="22"/>
          <w:szCs w:val="22"/>
        </w:rPr>
      </w:pPr>
      <w:bookmarkStart w:id="8" w:name="_Toc128489460"/>
      <w:r w:rsidRPr="006A7674">
        <w:rPr>
          <w:rFonts w:ascii="Bookman Old Style" w:hAnsi="Bookman Old Style"/>
          <w:sz w:val="22"/>
          <w:szCs w:val="22"/>
        </w:rPr>
        <w:t xml:space="preserve">Articolo </w:t>
      </w:r>
      <w:r w:rsidR="007D3634" w:rsidRPr="006A7674">
        <w:rPr>
          <w:rFonts w:ascii="Bookman Old Style" w:hAnsi="Bookman Old Style"/>
          <w:sz w:val="22"/>
          <w:szCs w:val="22"/>
        </w:rPr>
        <w:t>6</w:t>
      </w:r>
      <w:r w:rsidRPr="006A7674">
        <w:rPr>
          <w:rFonts w:ascii="Bookman Old Style" w:hAnsi="Bookman Old Style"/>
          <w:sz w:val="22"/>
          <w:szCs w:val="22"/>
        </w:rPr>
        <w:t xml:space="preserve"> – Diniego della definizione</w:t>
      </w:r>
      <w:bookmarkEnd w:id="8"/>
    </w:p>
    <w:p w14:paraId="18CFB955" w14:textId="77777777" w:rsidR="007D3634" w:rsidRPr="006A7674" w:rsidRDefault="007D3634"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1. L'eventuale diniego della definizione agevolata deve essere notificato entro il 31 luglio 2024</w:t>
      </w:r>
      <w:r w:rsidRPr="006A7674">
        <w:rPr>
          <w:rStyle w:val="Rimandonotaapidipagina"/>
          <w:rFonts w:ascii="Bookman Old Style" w:hAnsi="Bookman Old Style"/>
          <w:spacing w:val="4"/>
          <w:sz w:val="22"/>
          <w:szCs w:val="22"/>
        </w:rPr>
        <w:footnoteReference w:id="23"/>
      </w:r>
      <w:r w:rsidRPr="006A7674">
        <w:rPr>
          <w:rFonts w:ascii="Bookman Old Style" w:hAnsi="Bookman Old Style"/>
          <w:spacing w:val="4"/>
          <w:sz w:val="22"/>
          <w:szCs w:val="22"/>
        </w:rPr>
        <w:t xml:space="preserve"> con le modalità previste per la notificazione degli atti processuali. Il diniego è impugnabile entro sessanta giorni dalla notificazione del medesimo dinanzi all'organo giurisdizionale presso il quale pende la controversia. Nel caso in cui la definizione della controversia </w:t>
      </w:r>
      <w:r w:rsidR="00195113">
        <w:rPr>
          <w:rFonts w:ascii="Bookman Old Style" w:hAnsi="Bookman Old Style"/>
          <w:spacing w:val="4"/>
          <w:sz w:val="22"/>
          <w:szCs w:val="22"/>
        </w:rPr>
        <w:t>sia</w:t>
      </w:r>
      <w:r w:rsidRPr="006A7674">
        <w:rPr>
          <w:rFonts w:ascii="Bookman Old Style" w:hAnsi="Bookman Old Style"/>
          <w:spacing w:val="4"/>
          <w:sz w:val="22"/>
          <w:szCs w:val="22"/>
        </w:rPr>
        <w:t xml:space="preserve"> richiesta in pendenza del termine per impugnare, la pronuncia giurisdizionale può essere impugnata dal contribuente unitamente al diniego della definizione entro sessanta giorni dalla notifica di quest'ultimo</w:t>
      </w:r>
      <w:r w:rsidR="00195113">
        <w:rPr>
          <w:rFonts w:ascii="Bookman Old Style" w:hAnsi="Bookman Old Style"/>
          <w:spacing w:val="4"/>
          <w:sz w:val="22"/>
          <w:szCs w:val="22"/>
        </w:rPr>
        <w:t>,</w:t>
      </w:r>
      <w:r w:rsidRPr="006A7674">
        <w:rPr>
          <w:rFonts w:ascii="Bookman Old Style" w:hAnsi="Bookman Old Style"/>
          <w:spacing w:val="4"/>
          <w:sz w:val="22"/>
          <w:szCs w:val="22"/>
        </w:rPr>
        <w:t xml:space="preserve"> ovvero dalla controparte</w:t>
      </w:r>
      <w:r w:rsidR="00195113">
        <w:rPr>
          <w:rFonts w:ascii="Bookman Old Style" w:hAnsi="Bookman Old Style"/>
          <w:spacing w:val="4"/>
          <w:sz w:val="22"/>
          <w:szCs w:val="22"/>
        </w:rPr>
        <w:t>,</w:t>
      </w:r>
      <w:r w:rsidRPr="006A7674">
        <w:rPr>
          <w:rFonts w:ascii="Bookman Old Style" w:hAnsi="Bookman Old Style"/>
          <w:spacing w:val="4"/>
          <w:sz w:val="22"/>
          <w:szCs w:val="22"/>
        </w:rPr>
        <w:t xml:space="preserve"> nel medesimo termine.</w:t>
      </w:r>
    </w:p>
    <w:p w14:paraId="7405B3F6" w14:textId="77777777" w:rsidR="00F678BE" w:rsidRPr="006A7674" w:rsidRDefault="00F678BE"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2.</w:t>
      </w:r>
      <w:r w:rsidR="00090093" w:rsidRPr="006A7674">
        <w:rPr>
          <w:rFonts w:ascii="Bookman Old Style" w:hAnsi="Bookman Old Style"/>
          <w:spacing w:val="4"/>
          <w:sz w:val="22"/>
          <w:szCs w:val="22"/>
        </w:rPr>
        <w:t xml:space="preserve"> Per i processi dichiarati estinti ai sensi dell’articolo 7, comma 2, l'eventuale diniego della definizione è impugnabile dinanzi all'organo giurisdizionale che ha dichiarato l'estinzione. Il diniego della definizione è motivo di revocazione del provvedimento di estinzione pronunciato ai sensi dell’articolo 7, comma 2</w:t>
      </w:r>
      <w:r w:rsidR="00195113">
        <w:rPr>
          <w:rFonts w:ascii="Bookman Old Style" w:hAnsi="Bookman Old Style"/>
          <w:spacing w:val="4"/>
          <w:sz w:val="22"/>
          <w:szCs w:val="22"/>
        </w:rPr>
        <w:t>,</w:t>
      </w:r>
      <w:r w:rsidR="00090093" w:rsidRPr="006A7674">
        <w:rPr>
          <w:rFonts w:ascii="Bookman Old Style" w:hAnsi="Bookman Old Style"/>
          <w:spacing w:val="4"/>
          <w:sz w:val="22"/>
          <w:szCs w:val="22"/>
        </w:rPr>
        <w:t xml:space="preserve"> e la revocazione è chiesta congiuntamente all'impugnazione del diniego. Il termine per chiedere la revocazione è di sessanta giorni dalla notificazione </w:t>
      </w:r>
      <w:r w:rsidR="00D15FCA" w:rsidRPr="006A7674">
        <w:rPr>
          <w:rFonts w:ascii="Bookman Old Style" w:hAnsi="Bookman Old Style"/>
          <w:spacing w:val="4"/>
          <w:sz w:val="22"/>
          <w:szCs w:val="22"/>
        </w:rPr>
        <w:t xml:space="preserve">del diniego della definizione </w:t>
      </w:r>
      <w:r w:rsidR="00090093" w:rsidRPr="006A7674">
        <w:rPr>
          <w:rFonts w:ascii="Bookman Old Style" w:hAnsi="Bookman Old Style"/>
          <w:spacing w:val="4"/>
          <w:sz w:val="22"/>
          <w:szCs w:val="22"/>
        </w:rPr>
        <w:t>di cui al comma 1.</w:t>
      </w:r>
    </w:p>
    <w:p w14:paraId="19D5EC84" w14:textId="77777777" w:rsidR="00F678BE" w:rsidRPr="006A7674" w:rsidRDefault="00F678BE" w:rsidP="006A7674">
      <w:pPr>
        <w:pStyle w:val="testo"/>
        <w:spacing w:after="80" w:line="288" w:lineRule="auto"/>
        <w:rPr>
          <w:rFonts w:ascii="Bookman Old Style" w:hAnsi="Bookman Old Style"/>
          <w:spacing w:val="4"/>
          <w:sz w:val="22"/>
          <w:szCs w:val="22"/>
        </w:rPr>
      </w:pPr>
    </w:p>
    <w:p w14:paraId="3EDF3914" w14:textId="77777777" w:rsidR="007D3634" w:rsidRPr="006A7674" w:rsidRDefault="007D3634" w:rsidP="006A7674">
      <w:pPr>
        <w:pStyle w:val="Titolo3"/>
        <w:spacing w:after="80" w:line="288" w:lineRule="auto"/>
        <w:jc w:val="left"/>
        <w:rPr>
          <w:rFonts w:ascii="Bookman Old Style" w:hAnsi="Bookman Old Style"/>
          <w:sz w:val="22"/>
          <w:szCs w:val="22"/>
        </w:rPr>
      </w:pPr>
      <w:bookmarkStart w:id="9" w:name="_Toc128489461"/>
      <w:r w:rsidRPr="006A7674">
        <w:rPr>
          <w:rFonts w:ascii="Bookman Old Style" w:hAnsi="Bookman Old Style"/>
          <w:sz w:val="22"/>
          <w:szCs w:val="22"/>
        </w:rPr>
        <w:t xml:space="preserve">Articolo </w:t>
      </w:r>
      <w:r w:rsidR="00F678BE" w:rsidRPr="006A7674">
        <w:rPr>
          <w:rFonts w:ascii="Bookman Old Style" w:hAnsi="Bookman Old Style"/>
          <w:sz w:val="22"/>
          <w:szCs w:val="22"/>
        </w:rPr>
        <w:t>7</w:t>
      </w:r>
      <w:r w:rsidRPr="006A7674">
        <w:rPr>
          <w:rFonts w:ascii="Bookman Old Style" w:hAnsi="Bookman Old Style"/>
          <w:sz w:val="22"/>
          <w:szCs w:val="22"/>
        </w:rPr>
        <w:t xml:space="preserve"> – Sospensione del processo</w:t>
      </w:r>
      <w:bookmarkEnd w:id="9"/>
    </w:p>
    <w:p w14:paraId="149D85CA" w14:textId="77777777" w:rsidR="007D3634" w:rsidRPr="006A7674" w:rsidRDefault="007D3634"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1. Le controversie definibili non sono sospese, salvo che il contribuente faccia apposita richiesta al giudice, dichiarando di volersi avvalere della definizione agevolata. In tal caso il processo è sospeso fino al 10 luglio 2023</w:t>
      </w:r>
      <w:r w:rsidR="00195113">
        <w:rPr>
          <w:rFonts w:ascii="Bookman Old Style" w:hAnsi="Bookman Old Style"/>
          <w:spacing w:val="4"/>
          <w:sz w:val="22"/>
          <w:szCs w:val="22"/>
        </w:rPr>
        <w:t>,</w:t>
      </w:r>
      <w:r w:rsidRPr="006A7674">
        <w:rPr>
          <w:rFonts w:ascii="Bookman Old Style" w:hAnsi="Bookman Old Style"/>
          <w:spacing w:val="4"/>
          <w:sz w:val="22"/>
          <w:szCs w:val="22"/>
        </w:rPr>
        <w:t xml:space="preserve"> ed entro la stessa data il contribuente ha l'onere di depositare, presso l'organo giurisdizionale innanzi al </w:t>
      </w:r>
      <w:r w:rsidRPr="006A7674">
        <w:rPr>
          <w:rFonts w:ascii="Bookman Old Style" w:hAnsi="Bookman Old Style"/>
          <w:spacing w:val="4"/>
          <w:sz w:val="22"/>
          <w:szCs w:val="22"/>
        </w:rPr>
        <w:lastRenderedPageBreak/>
        <w:t>quale pende la controversia, copia della domanda di definizione e del versamento degli importi dovuti o della prima rata</w:t>
      </w:r>
      <w:r w:rsidRPr="006A7674">
        <w:rPr>
          <w:rStyle w:val="Rimandonotaapidipagina"/>
          <w:rFonts w:ascii="Bookman Old Style" w:hAnsi="Bookman Old Style"/>
          <w:spacing w:val="4"/>
          <w:sz w:val="22"/>
          <w:szCs w:val="22"/>
        </w:rPr>
        <w:footnoteReference w:id="24"/>
      </w:r>
      <w:r w:rsidRPr="006A7674">
        <w:rPr>
          <w:rFonts w:ascii="Bookman Old Style" w:hAnsi="Bookman Old Style"/>
          <w:spacing w:val="4"/>
          <w:sz w:val="22"/>
          <w:szCs w:val="22"/>
        </w:rPr>
        <w:t xml:space="preserve">. </w:t>
      </w:r>
    </w:p>
    <w:p w14:paraId="7A2261D5" w14:textId="6DB50A3E" w:rsidR="007D3634" w:rsidRPr="006A7674" w:rsidRDefault="007D3634"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2. In caso di deposito, ai sensi del comma 1, secondo periodo, il processo è dichiarato estinto con decreto del presidente della sezione o con ordinanza in camera di consiglio</w:t>
      </w:r>
      <w:r w:rsidR="00195113">
        <w:rPr>
          <w:rFonts w:ascii="Bookman Old Style" w:hAnsi="Bookman Old Style"/>
          <w:spacing w:val="4"/>
          <w:sz w:val="22"/>
          <w:szCs w:val="22"/>
        </w:rPr>
        <w:t>,</w:t>
      </w:r>
      <w:r w:rsidRPr="006A7674">
        <w:rPr>
          <w:rFonts w:ascii="Bookman Old Style" w:hAnsi="Bookman Old Style"/>
          <w:spacing w:val="4"/>
          <w:sz w:val="22"/>
          <w:szCs w:val="22"/>
        </w:rPr>
        <w:t xml:space="preserve"> se è stata fissata la data della decisione. Le spese del processo restano a carico della parte che le ha anticipate.</w:t>
      </w:r>
    </w:p>
    <w:p w14:paraId="14102536" w14:textId="77777777" w:rsidR="007D3634" w:rsidRPr="006A7674" w:rsidRDefault="007D3634" w:rsidP="006A7674">
      <w:pPr>
        <w:pStyle w:val="testo"/>
        <w:spacing w:after="80" w:line="288" w:lineRule="auto"/>
        <w:rPr>
          <w:rFonts w:ascii="Bookman Old Style" w:hAnsi="Bookman Old Style"/>
          <w:spacing w:val="4"/>
          <w:sz w:val="22"/>
          <w:szCs w:val="22"/>
        </w:rPr>
      </w:pPr>
    </w:p>
    <w:p w14:paraId="4A7053C5" w14:textId="77777777" w:rsidR="006F52E3" w:rsidRPr="006A7674" w:rsidRDefault="006F52E3" w:rsidP="006A7674">
      <w:pPr>
        <w:pStyle w:val="Titolo3"/>
        <w:spacing w:after="80" w:line="288" w:lineRule="auto"/>
        <w:jc w:val="left"/>
        <w:rPr>
          <w:rFonts w:ascii="Bookman Old Style" w:hAnsi="Bookman Old Style"/>
          <w:sz w:val="22"/>
          <w:szCs w:val="22"/>
        </w:rPr>
      </w:pPr>
      <w:bookmarkStart w:id="10" w:name="_Toc128489462"/>
      <w:r w:rsidRPr="006A7674">
        <w:rPr>
          <w:rFonts w:ascii="Bookman Old Style" w:hAnsi="Bookman Old Style"/>
          <w:sz w:val="22"/>
          <w:szCs w:val="22"/>
        </w:rPr>
        <w:t xml:space="preserve">Articolo </w:t>
      </w:r>
      <w:r w:rsidR="00DD19E9" w:rsidRPr="006A7674">
        <w:rPr>
          <w:rFonts w:ascii="Bookman Old Style" w:hAnsi="Bookman Old Style"/>
          <w:sz w:val="22"/>
          <w:szCs w:val="22"/>
        </w:rPr>
        <w:t>8</w:t>
      </w:r>
      <w:r w:rsidRPr="006A7674">
        <w:rPr>
          <w:rFonts w:ascii="Bookman Old Style" w:hAnsi="Bookman Old Style"/>
          <w:sz w:val="22"/>
          <w:szCs w:val="22"/>
        </w:rPr>
        <w:t xml:space="preserve"> – Sospensioni termini processuali</w:t>
      </w:r>
      <w:bookmarkEnd w:id="10"/>
    </w:p>
    <w:p w14:paraId="524A8D86" w14:textId="77777777" w:rsidR="006F52E3" w:rsidRPr="006A7674" w:rsidRDefault="00E407D6"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1</w:t>
      </w:r>
      <w:r w:rsidR="006F52E3" w:rsidRPr="006A7674">
        <w:rPr>
          <w:rFonts w:ascii="Bookman Old Style" w:hAnsi="Bookman Old Style"/>
          <w:spacing w:val="4"/>
          <w:sz w:val="22"/>
          <w:szCs w:val="22"/>
        </w:rPr>
        <w:t>. Per le controversie definibili sono sospesi per nove mesi i termini di impugnazione</w:t>
      </w:r>
      <w:r w:rsidR="009E34AB" w:rsidRPr="006A7674">
        <w:rPr>
          <w:rStyle w:val="Rimandonotaapidipagina"/>
          <w:rFonts w:ascii="Bookman Old Style" w:hAnsi="Bookman Old Style"/>
          <w:spacing w:val="4"/>
          <w:sz w:val="22"/>
          <w:szCs w:val="22"/>
        </w:rPr>
        <w:footnoteReference w:id="25"/>
      </w:r>
      <w:r w:rsidR="006F52E3" w:rsidRPr="006A7674">
        <w:rPr>
          <w:rFonts w:ascii="Bookman Old Style" w:hAnsi="Bookman Old Style"/>
          <w:spacing w:val="4"/>
          <w:sz w:val="22"/>
          <w:szCs w:val="22"/>
        </w:rPr>
        <w:t xml:space="preserve">, anche incidentale, delle pronunce giurisdizionali e di riassunzione, nonché per la proposizione del controricorso in </w:t>
      </w:r>
      <w:r w:rsidR="003227A4" w:rsidRPr="006A7674">
        <w:rPr>
          <w:rFonts w:ascii="Bookman Old Style" w:hAnsi="Bookman Old Style"/>
          <w:spacing w:val="4"/>
          <w:sz w:val="22"/>
          <w:szCs w:val="22"/>
        </w:rPr>
        <w:t>c</w:t>
      </w:r>
      <w:r w:rsidR="006F52E3" w:rsidRPr="006A7674">
        <w:rPr>
          <w:rFonts w:ascii="Bookman Old Style" w:hAnsi="Bookman Old Style"/>
          <w:spacing w:val="4"/>
          <w:sz w:val="22"/>
          <w:szCs w:val="22"/>
        </w:rPr>
        <w:t>assazione che scadono dalla data di esecutività del presente regolamento e fino al 31 luglio 20</w:t>
      </w:r>
      <w:r w:rsidR="003227A4" w:rsidRPr="006A7674">
        <w:rPr>
          <w:rFonts w:ascii="Bookman Old Style" w:hAnsi="Bookman Old Style"/>
          <w:spacing w:val="4"/>
          <w:sz w:val="22"/>
          <w:szCs w:val="22"/>
        </w:rPr>
        <w:t>23</w:t>
      </w:r>
      <w:r w:rsidR="003227A4" w:rsidRPr="006A7674">
        <w:rPr>
          <w:rStyle w:val="Rimandonotaapidipagina"/>
          <w:rFonts w:ascii="Bookman Old Style" w:hAnsi="Bookman Old Style"/>
          <w:spacing w:val="4"/>
          <w:sz w:val="22"/>
          <w:szCs w:val="22"/>
        </w:rPr>
        <w:footnoteReference w:id="26"/>
      </w:r>
      <w:r w:rsidR="006F52E3" w:rsidRPr="006A7674">
        <w:rPr>
          <w:rFonts w:ascii="Bookman Old Style" w:hAnsi="Bookman Old Style"/>
          <w:spacing w:val="4"/>
          <w:sz w:val="22"/>
          <w:szCs w:val="22"/>
        </w:rPr>
        <w:t>.</w:t>
      </w:r>
    </w:p>
    <w:p w14:paraId="1124292C" w14:textId="77777777" w:rsidR="006F52E3" w:rsidRPr="006A7674" w:rsidRDefault="006F52E3" w:rsidP="006A7674">
      <w:pPr>
        <w:pStyle w:val="testo"/>
        <w:spacing w:after="80" w:line="288" w:lineRule="auto"/>
        <w:rPr>
          <w:rFonts w:ascii="Bookman Old Style" w:hAnsi="Bookman Old Style"/>
          <w:spacing w:val="4"/>
          <w:sz w:val="22"/>
          <w:szCs w:val="22"/>
        </w:rPr>
      </w:pPr>
    </w:p>
    <w:p w14:paraId="334C2825" w14:textId="77777777" w:rsidR="00686151" w:rsidRPr="006A7674" w:rsidRDefault="00686151" w:rsidP="006A7674">
      <w:pPr>
        <w:pStyle w:val="testo"/>
        <w:spacing w:after="80" w:line="288" w:lineRule="auto"/>
        <w:rPr>
          <w:rFonts w:ascii="Bookman Old Style" w:hAnsi="Bookman Old Style"/>
          <w:spacing w:val="4"/>
          <w:sz w:val="22"/>
          <w:szCs w:val="22"/>
        </w:rPr>
      </w:pPr>
    </w:p>
    <w:p w14:paraId="0BACDEE6" w14:textId="77777777" w:rsidR="00E127E5" w:rsidRPr="006A7674" w:rsidRDefault="00E127E5" w:rsidP="006A7674">
      <w:pPr>
        <w:pStyle w:val="Titolo3"/>
        <w:spacing w:after="80" w:line="288" w:lineRule="auto"/>
        <w:rPr>
          <w:rFonts w:ascii="Bookman Old Style" w:hAnsi="Bookman Old Style"/>
          <w:sz w:val="22"/>
          <w:szCs w:val="22"/>
        </w:rPr>
      </w:pPr>
      <w:bookmarkStart w:id="11" w:name="_Toc128489463"/>
      <w:r w:rsidRPr="006A7674">
        <w:rPr>
          <w:rFonts w:ascii="Bookman Old Style" w:hAnsi="Bookman Old Style"/>
          <w:sz w:val="22"/>
          <w:szCs w:val="22"/>
        </w:rPr>
        <w:t>CAPO III – CONCILIAZIONE AGEVOLATA E ACCORDO TRANSATTIVO RICORSI PENDENTI IN CASSAZIONE</w:t>
      </w:r>
      <w:bookmarkEnd w:id="11"/>
    </w:p>
    <w:p w14:paraId="01EFCDAA" w14:textId="77777777" w:rsidR="00E127E5" w:rsidRPr="006A7674" w:rsidRDefault="00E127E5" w:rsidP="006A7674">
      <w:pPr>
        <w:pStyle w:val="testo"/>
        <w:spacing w:after="80" w:line="288" w:lineRule="auto"/>
        <w:rPr>
          <w:rFonts w:ascii="Bookman Old Style" w:hAnsi="Bookman Old Style"/>
          <w:spacing w:val="4"/>
          <w:sz w:val="22"/>
          <w:szCs w:val="22"/>
        </w:rPr>
      </w:pPr>
    </w:p>
    <w:p w14:paraId="67B19765" w14:textId="77777777" w:rsidR="00E127E5" w:rsidRPr="006A7674" w:rsidRDefault="00E127E5" w:rsidP="006A7674">
      <w:pPr>
        <w:pStyle w:val="Titolo3"/>
        <w:spacing w:after="80" w:line="288" w:lineRule="auto"/>
        <w:jc w:val="left"/>
        <w:rPr>
          <w:rFonts w:ascii="Bookman Old Style" w:hAnsi="Bookman Old Style"/>
          <w:i/>
          <w:sz w:val="22"/>
          <w:szCs w:val="22"/>
        </w:rPr>
      </w:pPr>
      <w:bookmarkStart w:id="12" w:name="_Toc128489464"/>
      <w:r w:rsidRPr="006A7674">
        <w:rPr>
          <w:rFonts w:ascii="Bookman Old Style" w:hAnsi="Bookman Old Style"/>
          <w:sz w:val="22"/>
          <w:szCs w:val="22"/>
        </w:rPr>
        <w:t>Articolo 9 – Conciliazione agevolata</w:t>
      </w:r>
      <w:bookmarkEnd w:id="12"/>
    </w:p>
    <w:p w14:paraId="2309F714" w14:textId="77777777" w:rsidR="00E127E5" w:rsidRPr="006A7674" w:rsidRDefault="00E127E5"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1. In alternativa</w:t>
      </w:r>
      <w:r w:rsidR="00C12D3F" w:rsidRPr="006A7674">
        <w:rPr>
          <w:rStyle w:val="Rimandonotaapidipagina"/>
          <w:rFonts w:ascii="Bookman Old Style" w:hAnsi="Bookman Old Style"/>
          <w:spacing w:val="4"/>
          <w:sz w:val="22"/>
          <w:szCs w:val="22"/>
        </w:rPr>
        <w:footnoteReference w:id="27"/>
      </w:r>
      <w:r w:rsidRPr="006A7674">
        <w:rPr>
          <w:rFonts w:ascii="Bookman Old Style" w:hAnsi="Bookman Old Style"/>
          <w:spacing w:val="4"/>
          <w:sz w:val="22"/>
          <w:szCs w:val="22"/>
        </w:rPr>
        <w:t xml:space="preserve"> alla definizione agevolata di cui al Capo II, le controversie pendenti alla data del 1° gennaio 2023 innanzi alle corti di giustizia tributaria di </w:t>
      </w:r>
      <w:r w:rsidRPr="006A7674">
        <w:rPr>
          <w:rFonts w:ascii="Bookman Old Style" w:hAnsi="Bookman Old Style"/>
          <w:spacing w:val="4"/>
          <w:sz w:val="22"/>
          <w:szCs w:val="22"/>
        </w:rPr>
        <w:lastRenderedPageBreak/>
        <w:t>primo e di secondo grado aventi ad oggetto atti impositivi</w:t>
      </w:r>
      <w:r w:rsidR="00941593" w:rsidRPr="006A7674">
        <w:rPr>
          <w:rStyle w:val="Rimandonotaapidipagina"/>
          <w:rFonts w:ascii="Bookman Old Style" w:hAnsi="Bookman Old Style"/>
          <w:spacing w:val="4"/>
          <w:sz w:val="22"/>
          <w:szCs w:val="22"/>
        </w:rPr>
        <w:footnoteReference w:id="28"/>
      </w:r>
      <w:r w:rsidRPr="006A7674">
        <w:rPr>
          <w:rFonts w:ascii="Bookman Old Style" w:hAnsi="Bookman Old Style"/>
          <w:spacing w:val="4"/>
          <w:sz w:val="22"/>
          <w:szCs w:val="22"/>
        </w:rPr>
        <w:t xml:space="preserve">, in cui è </w:t>
      </w:r>
      <w:r w:rsidR="000B178F" w:rsidRPr="006A7674">
        <w:rPr>
          <w:rFonts w:ascii="Bookman Old Style" w:hAnsi="Bookman Old Style"/>
          <w:spacing w:val="4"/>
          <w:sz w:val="22"/>
          <w:szCs w:val="22"/>
        </w:rPr>
        <w:t xml:space="preserve">parte </w:t>
      </w:r>
      <w:r w:rsidRPr="006A7674">
        <w:rPr>
          <w:rFonts w:ascii="Bookman Old Style" w:hAnsi="Bookman Old Style"/>
          <w:spacing w:val="4"/>
          <w:sz w:val="22"/>
          <w:szCs w:val="22"/>
        </w:rPr>
        <w:t>il Comune impositore, possono essere definite, entro il 30 giugno 2023, con l'accordo conciliativo di cui all'articolo 48 del decreto legislativo 31 dicembre 1992, n. 546</w:t>
      </w:r>
      <w:r w:rsidR="001E401E">
        <w:rPr>
          <w:rStyle w:val="Rimandonotaapidipagina"/>
          <w:rFonts w:ascii="Bookman Old Style" w:hAnsi="Bookman Old Style"/>
          <w:spacing w:val="4"/>
          <w:sz w:val="22"/>
          <w:szCs w:val="22"/>
        </w:rPr>
        <w:footnoteReference w:id="29"/>
      </w:r>
      <w:r w:rsidRPr="006A7674">
        <w:rPr>
          <w:rFonts w:ascii="Bookman Old Style" w:hAnsi="Bookman Old Style"/>
          <w:spacing w:val="4"/>
          <w:sz w:val="22"/>
          <w:szCs w:val="22"/>
        </w:rPr>
        <w:t>.</w:t>
      </w:r>
    </w:p>
    <w:p w14:paraId="50588EA2" w14:textId="77777777" w:rsidR="00686151" w:rsidRPr="006A7674" w:rsidRDefault="00E127E5"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 xml:space="preserve">2. All’accordo conciliativo </w:t>
      </w:r>
      <w:r w:rsidR="00C12D3F" w:rsidRPr="006A7674">
        <w:rPr>
          <w:rFonts w:ascii="Bookman Old Style" w:hAnsi="Bookman Old Style"/>
          <w:spacing w:val="4"/>
          <w:sz w:val="22"/>
          <w:szCs w:val="22"/>
        </w:rPr>
        <w:t>di cui al comma 1 si applicano le sanzioni ridotte a un diciottesimo del minimo previsto dalla legge, gli interessi e gli eventuali accessori</w:t>
      </w:r>
      <w:r w:rsidR="00C12D3F" w:rsidRPr="006A7674">
        <w:rPr>
          <w:rStyle w:val="Rimandonotaapidipagina"/>
          <w:rFonts w:ascii="Bookman Old Style" w:hAnsi="Bookman Old Style"/>
          <w:spacing w:val="4"/>
          <w:sz w:val="22"/>
          <w:szCs w:val="22"/>
        </w:rPr>
        <w:footnoteReference w:id="30"/>
      </w:r>
      <w:r w:rsidR="00C12D3F" w:rsidRPr="006A7674">
        <w:rPr>
          <w:rFonts w:ascii="Bookman Old Style" w:hAnsi="Bookman Old Style"/>
          <w:spacing w:val="4"/>
          <w:sz w:val="22"/>
          <w:szCs w:val="22"/>
        </w:rPr>
        <w:t>.</w:t>
      </w:r>
    </w:p>
    <w:p w14:paraId="7064CAEB" w14:textId="77777777" w:rsidR="000B178F" w:rsidRPr="006A7674" w:rsidRDefault="000B178F"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3.</w:t>
      </w:r>
      <w:r w:rsidRPr="006A7674">
        <w:rPr>
          <w:rFonts w:ascii="Bookman Old Style" w:hAnsi="Bookman Old Style"/>
          <w:sz w:val="22"/>
          <w:szCs w:val="22"/>
        </w:rPr>
        <w:t xml:space="preserve"> </w:t>
      </w:r>
      <w:r w:rsidRPr="006A7674">
        <w:rPr>
          <w:rFonts w:ascii="Bookman Old Style" w:hAnsi="Bookman Old Style"/>
          <w:spacing w:val="4"/>
          <w:sz w:val="22"/>
          <w:szCs w:val="22"/>
        </w:rPr>
        <w:t>Come previsto dall'articolo 48-ter, commi 2 e 4, del decreto legislativo 31 dicembre 1992, n. 546, il versamento delle somme dovute</w:t>
      </w:r>
      <w:r w:rsidR="00195113">
        <w:rPr>
          <w:rFonts w:ascii="Bookman Old Style" w:hAnsi="Bookman Old Style"/>
          <w:spacing w:val="4"/>
          <w:sz w:val="22"/>
          <w:szCs w:val="22"/>
        </w:rPr>
        <w:t>,</w:t>
      </w:r>
      <w:r w:rsidRPr="006A7674">
        <w:rPr>
          <w:rFonts w:ascii="Bookman Old Style" w:hAnsi="Bookman Old Style"/>
          <w:spacing w:val="4"/>
          <w:sz w:val="22"/>
          <w:szCs w:val="22"/>
        </w:rPr>
        <w:t xml:space="preserve"> ovvero, in caso di rateizzazione, della prima rata</w:t>
      </w:r>
      <w:r w:rsidR="00195113">
        <w:rPr>
          <w:rFonts w:ascii="Bookman Old Style" w:hAnsi="Bookman Old Style"/>
          <w:spacing w:val="4"/>
          <w:sz w:val="22"/>
          <w:szCs w:val="22"/>
        </w:rPr>
        <w:t>,</w:t>
      </w:r>
      <w:r w:rsidRPr="006A7674">
        <w:rPr>
          <w:rFonts w:ascii="Bookman Old Style" w:hAnsi="Bookman Old Style"/>
          <w:spacing w:val="4"/>
          <w:sz w:val="22"/>
          <w:szCs w:val="22"/>
        </w:rPr>
        <w:t xml:space="preserve"> deve essere effettuato entro venti giorni dalla data di sottoscrizione dell'accordo conciliativo. Si applicano le disposizioni previste dall'articolo 8 del decreto legislativo 19 giugno 1997, n. 218, con un massimo di venti rate trimestrali di pari importo da versare entro l'ultimo giorno di ciascun trimestre successivo al pagamento della prima rata. Sull'importo delle rate successive alla prima sono dovuti gli interessi legali calcolati dal giorno successivo al termine per il versamento della prima rata. </w:t>
      </w:r>
      <w:r w:rsidR="00B16D23" w:rsidRPr="006A7674">
        <w:rPr>
          <w:rFonts w:ascii="Bookman Old Style" w:hAnsi="Bookman Old Style"/>
          <w:spacing w:val="4"/>
          <w:sz w:val="22"/>
          <w:szCs w:val="22"/>
        </w:rPr>
        <w:t>È</w:t>
      </w:r>
      <w:r w:rsidRPr="006A7674">
        <w:rPr>
          <w:rFonts w:ascii="Bookman Old Style" w:hAnsi="Bookman Old Style"/>
          <w:spacing w:val="4"/>
          <w:sz w:val="22"/>
          <w:szCs w:val="22"/>
        </w:rPr>
        <w:t xml:space="preserve"> esclusa la compensazione prevista dall'articolo 17 del decreto legislativo 9 luglio 1997, n. 241</w:t>
      </w:r>
      <w:r w:rsidR="00734CC3" w:rsidRPr="006A7674">
        <w:rPr>
          <w:rStyle w:val="Rimandonotaapidipagina"/>
          <w:rFonts w:ascii="Bookman Old Style" w:hAnsi="Bookman Old Style"/>
          <w:spacing w:val="4"/>
          <w:sz w:val="22"/>
          <w:szCs w:val="22"/>
        </w:rPr>
        <w:footnoteReference w:id="31"/>
      </w:r>
      <w:r w:rsidRPr="006A7674">
        <w:rPr>
          <w:rFonts w:ascii="Bookman Old Style" w:hAnsi="Bookman Old Style"/>
          <w:spacing w:val="4"/>
          <w:sz w:val="22"/>
          <w:szCs w:val="22"/>
        </w:rPr>
        <w:t>.</w:t>
      </w:r>
    </w:p>
    <w:p w14:paraId="65C9930D" w14:textId="77777777" w:rsidR="009159DD" w:rsidRPr="006A7674" w:rsidRDefault="009159DD"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 xml:space="preserve">4. In caso di mancato pagamento delle somme dovute o di una delle rate, compresa la prima, entro il termine di pagamento della rata successiva, il contribuente decade dal beneficio di cui al comma 2 e il </w:t>
      </w:r>
      <w:r w:rsidR="00B16D23" w:rsidRPr="006A7674">
        <w:rPr>
          <w:rFonts w:ascii="Bookman Old Style" w:hAnsi="Bookman Old Style"/>
          <w:spacing w:val="4"/>
          <w:sz w:val="22"/>
          <w:szCs w:val="22"/>
        </w:rPr>
        <w:t>Comune</w:t>
      </w:r>
      <w:r w:rsidRPr="006A7674">
        <w:rPr>
          <w:rFonts w:ascii="Bookman Old Style" w:hAnsi="Bookman Old Style"/>
          <w:spacing w:val="4"/>
          <w:sz w:val="22"/>
          <w:szCs w:val="22"/>
        </w:rPr>
        <w:t xml:space="preserve"> provvede alla riscossione coattiva</w:t>
      </w:r>
      <w:r w:rsidRPr="006A7674">
        <w:rPr>
          <w:rStyle w:val="Rimandonotaapidipagina"/>
          <w:rFonts w:ascii="Bookman Old Style" w:hAnsi="Bookman Old Style"/>
          <w:spacing w:val="4"/>
          <w:sz w:val="22"/>
          <w:szCs w:val="22"/>
        </w:rPr>
        <w:footnoteReference w:id="32"/>
      </w:r>
      <w:r w:rsidRPr="006A7674">
        <w:rPr>
          <w:rFonts w:ascii="Bookman Old Style" w:hAnsi="Bookman Old Style"/>
          <w:spacing w:val="4"/>
          <w:sz w:val="22"/>
          <w:szCs w:val="22"/>
        </w:rPr>
        <w:t xml:space="preserve"> delle residue somme dovute a titolo di imposta, interessi e sanzioni, nonché della sanzione di cui all'articolo 13 del decreto legislativo 18 </w:t>
      </w:r>
      <w:r w:rsidRPr="006A7674">
        <w:rPr>
          <w:rFonts w:ascii="Bookman Old Style" w:hAnsi="Bookman Old Style"/>
          <w:spacing w:val="4"/>
          <w:sz w:val="22"/>
          <w:szCs w:val="22"/>
        </w:rPr>
        <w:lastRenderedPageBreak/>
        <w:t>dicembre 1997, n. 471, aumentata della metà e applicata sul residuo importo dovuto a titolo di imposta</w:t>
      </w:r>
      <w:r w:rsidR="00A218AA" w:rsidRPr="006A7674">
        <w:rPr>
          <w:rStyle w:val="Rimandonotaapidipagina"/>
          <w:rFonts w:ascii="Bookman Old Style" w:hAnsi="Bookman Old Style"/>
          <w:spacing w:val="4"/>
          <w:sz w:val="22"/>
          <w:szCs w:val="22"/>
        </w:rPr>
        <w:footnoteReference w:id="33"/>
      </w:r>
      <w:r w:rsidRPr="006A7674">
        <w:rPr>
          <w:rFonts w:ascii="Bookman Old Style" w:hAnsi="Bookman Old Style"/>
          <w:spacing w:val="4"/>
          <w:sz w:val="22"/>
          <w:szCs w:val="22"/>
        </w:rPr>
        <w:t>.</w:t>
      </w:r>
    </w:p>
    <w:p w14:paraId="011B5954" w14:textId="77777777" w:rsidR="00F2694C" w:rsidRPr="006A7674" w:rsidRDefault="00F2694C" w:rsidP="006A7674">
      <w:pPr>
        <w:pStyle w:val="testo"/>
        <w:spacing w:after="80" w:line="288" w:lineRule="auto"/>
        <w:rPr>
          <w:rFonts w:ascii="Bookman Old Style" w:hAnsi="Bookman Old Style"/>
          <w:spacing w:val="4"/>
          <w:sz w:val="22"/>
          <w:szCs w:val="22"/>
        </w:rPr>
      </w:pPr>
    </w:p>
    <w:p w14:paraId="113EABCF" w14:textId="77777777" w:rsidR="00F2694C" w:rsidRPr="006A7674" w:rsidRDefault="00F2694C" w:rsidP="006A7674">
      <w:pPr>
        <w:pStyle w:val="Titolo3"/>
        <w:spacing w:after="80" w:line="288" w:lineRule="auto"/>
        <w:jc w:val="left"/>
        <w:rPr>
          <w:rFonts w:ascii="Bookman Old Style" w:hAnsi="Bookman Old Style"/>
          <w:i/>
          <w:sz w:val="22"/>
          <w:szCs w:val="22"/>
        </w:rPr>
      </w:pPr>
      <w:bookmarkStart w:id="13" w:name="_Toc128489465"/>
      <w:r w:rsidRPr="006A7674">
        <w:rPr>
          <w:rFonts w:ascii="Bookman Old Style" w:hAnsi="Bookman Old Style"/>
          <w:sz w:val="22"/>
          <w:szCs w:val="22"/>
        </w:rPr>
        <w:t>Articolo 10 – Definizione transattiva delle controversie pendenti innanzi alla Corte di Cassazione</w:t>
      </w:r>
      <w:r w:rsidR="009351B5" w:rsidRPr="006A7674">
        <w:rPr>
          <w:rStyle w:val="Rimandonotaapidipagina"/>
          <w:rFonts w:ascii="Bookman Old Style" w:hAnsi="Bookman Old Style"/>
          <w:sz w:val="22"/>
          <w:szCs w:val="22"/>
        </w:rPr>
        <w:footnoteReference w:id="34"/>
      </w:r>
      <w:bookmarkEnd w:id="13"/>
    </w:p>
    <w:p w14:paraId="2C51D1D5" w14:textId="77777777" w:rsidR="00E127E5" w:rsidRPr="006A7674" w:rsidRDefault="00F2694C"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1. In alternativa alla definizione agevolata di cui al Capo II, nelle controversie tributarie pendenti alla data del 1° gennaio 2023 innanzi alla Corte di cassazione ai sensi dell'articolo 62 del decreto legislativo 31 dicembre 1992, n. 546, in cui è parte il Comune impositore, aventi ad oggetto atti impositivi, il ricorrente, entro il 30 giugno 2023, può rinunciare al ricorso principale o incidentale a seguito dell'intervenuta definizione transattiva con la controparte, perfezionatasi ai sensi del comma 2, di tutte le pretese azionate in giudizio.</w:t>
      </w:r>
    </w:p>
    <w:p w14:paraId="59EBAF1B" w14:textId="77777777" w:rsidR="00E127E5" w:rsidRPr="006A7674" w:rsidRDefault="00F2694C"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2. La definizione transattiva di cui al comma 1 comporta il pagamento delle somme dovute per le imposte, le sanzioni ridotte ad un diciottesimo del minimo previsto dalla legge, gli interessi e gli eventuali accessori.</w:t>
      </w:r>
    </w:p>
    <w:p w14:paraId="41A99562" w14:textId="77777777" w:rsidR="00E127E5" w:rsidRPr="006A7674" w:rsidRDefault="00F2694C"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3. La definizione transattiva si perfeziona con la sottoscrizione e con il pagamento integrale delle somme dovute entro venti giorni dalla sottoscrizione dell'accordo intervenuto tra le parti.</w:t>
      </w:r>
    </w:p>
    <w:p w14:paraId="21D4A86B" w14:textId="77777777" w:rsidR="00F2694C" w:rsidRPr="006A7674" w:rsidRDefault="00F2694C"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 xml:space="preserve">4. </w:t>
      </w:r>
      <w:r w:rsidR="002844EA" w:rsidRPr="006A7674">
        <w:rPr>
          <w:rFonts w:ascii="Bookman Old Style" w:hAnsi="Bookman Old Style"/>
          <w:spacing w:val="4"/>
          <w:sz w:val="22"/>
          <w:szCs w:val="22"/>
        </w:rPr>
        <w:t>È</w:t>
      </w:r>
      <w:r w:rsidRPr="006A7674">
        <w:rPr>
          <w:rFonts w:ascii="Bookman Old Style" w:hAnsi="Bookman Old Style"/>
          <w:spacing w:val="4"/>
          <w:sz w:val="22"/>
          <w:szCs w:val="22"/>
        </w:rPr>
        <w:t xml:space="preserve"> esclusa la compensazione prevista dall'articolo 17 del decreto legislativo 9 luglio 1997, n. 241. La rinuncia agevolata non dà comunque luogo alla restituzione delle somme già versate, ancorché eccedenti rispetto a quanto dovuto per la definizione transattiva.</w:t>
      </w:r>
    </w:p>
    <w:p w14:paraId="764DE636" w14:textId="145F50A2" w:rsidR="000C5B79" w:rsidRDefault="000C5B79" w:rsidP="006A7674">
      <w:pPr>
        <w:pStyle w:val="testo"/>
        <w:spacing w:after="80" w:line="288" w:lineRule="auto"/>
        <w:rPr>
          <w:rFonts w:ascii="Bookman Old Style" w:hAnsi="Bookman Old Style"/>
          <w:spacing w:val="4"/>
          <w:sz w:val="22"/>
          <w:szCs w:val="22"/>
        </w:rPr>
      </w:pPr>
    </w:p>
    <w:p w14:paraId="27A51F89" w14:textId="444FC1CF" w:rsidR="003A2050" w:rsidRDefault="003A2050" w:rsidP="006A7674">
      <w:pPr>
        <w:pStyle w:val="testo"/>
        <w:spacing w:after="80" w:line="288" w:lineRule="auto"/>
        <w:rPr>
          <w:rFonts w:ascii="Bookman Old Style" w:hAnsi="Bookman Old Style"/>
          <w:spacing w:val="4"/>
          <w:sz w:val="22"/>
          <w:szCs w:val="22"/>
        </w:rPr>
      </w:pPr>
    </w:p>
    <w:p w14:paraId="42CB0627" w14:textId="77777777" w:rsidR="003A2050" w:rsidRPr="006A7674" w:rsidRDefault="003A2050" w:rsidP="006A7674">
      <w:pPr>
        <w:pStyle w:val="testo"/>
        <w:spacing w:after="80" w:line="288" w:lineRule="auto"/>
        <w:rPr>
          <w:rFonts w:ascii="Bookman Old Style" w:hAnsi="Bookman Old Style"/>
          <w:spacing w:val="4"/>
          <w:sz w:val="22"/>
          <w:szCs w:val="22"/>
        </w:rPr>
      </w:pPr>
    </w:p>
    <w:p w14:paraId="2585A18D" w14:textId="77777777" w:rsidR="000C5B79" w:rsidRPr="006A7674" w:rsidRDefault="000C5B79" w:rsidP="006A7674">
      <w:pPr>
        <w:pStyle w:val="testo"/>
        <w:spacing w:after="80" w:line="288" w:lineRule="auto"/>
        <w:rPr>
          <w:rFonts w:ascii="Bookman Old Style" w:hAnsi="Bookman Old Style"/>
          <w:spacing w:val="4"/>
          <w:sz w:val="22"/>
          <w:szCs w:val="22"/>
        </w:rPr>
      </w:pPr>
    </w:p>
    <w:p w14:paraId="1293627C" w14:textId="77777777" w:rsidR="00CB2EBF" w:rsidRPr="006A7674" w:rsidRDefault="00CB2EBF" w:rsidP="006A7674">
      <w:pPr>
        <w:pStyle w:val="Titolo3"/>
        <w:spacing w:after="80" w:line="288" w:lineRule="auto"/>
        <w:rPr>
          <w:rFonts w:ascii="Bookman Old Style" w:hAnsi="Bookman Old Style"/>
          <w:sz w:val="22"/>
          <w:szCs w:val="22"/>
        </w:rPr>
      </w:pPr>
      <w:bookmarkStart w:id="14" w:name="_Toc128489466"/>
      <w:r w:rsidRPr="006A7674">
        <w:rPr>
          <w:rFonts w:ascii="Bookman Old Style" w:hAnsi="Bookman Old Style"/>
          <w:sz w:val="22"/>
          <w:szCs w:val="22"/>
        </w:rPr>
        <w:t>CAPO IV – REGOLARIZZAZIONE OMESSI VERSAMENTI RATEALI</w:t>
      </w:r>
      <w:bookmarkEnd w:id="14"/>
    </w:p>
    <w:p w14:paraId="3B35F4BB" w14:textId="77777777" w:rsidR="00CB2EBF" w:rsidRPr="006A7674" w:rsidRDefault="00CB2EBF" w:rsidP="006A7674">
      <w:pPr>
        <w:pStyle w:val="testo"/>
        <w:spacing w:after="80" w:line="288" w:lineRule="auto"/>
        <w:rPr>
          <w:rFonts w:ascii="Bookman Old Style" w:hAnsi="Bookman Old Style"/>
          <w:spacing w:val="4"/>
          <w:sz w:val="22"/>
          <w:szCs w:val="22"/>
        </w:rPr>
      </w:pPr>
    </w:p>
    <w:p w14:paraId="1FFA80ED" w14:textId="77777777" w:rsidR="00CB2EBF" w:rsidRPr="006A7674" w:rsidRDefault="00CB2EBF" w:rsidP="006A7674">
      <w:pPr>
        <w:pStyle w:val="Titolo3"/>
        <w:spacing w:after="80" w:line="288" w:lineRule="auto"/>
        <w:jc w:val="left"/>
        <w:rPr>
          <w:rFonts w:ascii="Bookman Old Style" w:hAnsi="Bookman Old Style"/>
          <w:i/>
          <w:sz w:val="22"/>
          <w:szCs w:val="22"/>
        </w:rPr>
      </w:pPr>
      <w:bookmarkStart w:id="15" w:name="_Toc128489467"/>
      <w:r w:rsidRPr="006A7674">
        <w:rPr>
          <w:rFonts w:ascii="Bookman Old Style" w:hAnsi="Bookman Old Style"/>
          <w:sz w:val="22"/>
          <w:szCs w:val="22"/>
        </w:rPr>
        <w:t xml:space="preserve">Articolo </w:t>
      </w:r>
      <w:r w:rsidR="0099046A" w:rsidRPr="006A7674">
        <w:rPr>
          <w:rFonts w:ascii="Bookman Old Style" w:hAnsi="Bookman Old Style"/>
          <w:sz w:val="22"/>
          <w:szCs w:val="22"/>
        </w:rPr>
        <w:t>11</w:t>
      </w:r>
      <w:r w:rsidRPr="006A7674">
        <w:rPr>
          <w:rFonts w:ascii="Bookman Old Style" w:hAnsi="Bookman Old Style"/>
          <w:sz w:val="22"/>
          <w:szCs w:val="22"/>
        </w:rPr>
        <w:t xml:space="preserve"> – </w:t>
      </w:r>
      <w:r w:rsidR="000C5B79" w:rsidRPr="006A7674">
        <w:rPr>
          <w:rFonts w:ascii="Bookman Old Style" w:hAnsi="Bookman Old Style"/>
          <w:sz w:val="22"/>
          <w:szCs w:val="22"/>
        </w:rPr>
        <w:t>Ambito di applicazione</w:t>
      </w:r>
      <w:bookmarkEnd w:id="15"/>
    </w:p>
    <w:p w14:paraId="6830D984" w14:textId="77777777" w:rsidR="000C5B79" w:rsidRPr="006A7674" w:rsidRDefault="00CB2EBF"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 xml:space="preserve">1. </w:t>
      </w:r>
      <w:r w:rsidR="000C5B79" w:rsidRPr="006A7674">
        <w:rPr>
          <w:rFonts w:ascii="Bookman Old Style" w:hAnsi="Bookman Old Style"/>
          <w:spacing w:val="4"/>
          <w:sz w:val="22"/>
          <w:szCs w:val="22"/>
        </w:rPr>
        <w:t>Con riferimento ai tributi comunali, è possibile regolarizzare l'omesso o carente versamento delle rate successive alla prima, scadute alla data del 1° gennaio 2023, dovute a seguito di</w:t>
      </w:r>
      <w:r w:rsidR="006D1EC2" w:rsidRPr="006A7674">
        <w:rPr>
          <w:rFonts w:ascii="Bookman Old Style" w:hAnsi="Bookman Old Style"/>
          <w:spacing w:val="4"/>
          <w:sz w:val="22"/>
          <w:szCs w:val="22"/>
        </w:rPr>
        <w:t xml:space="preserve"> rateazione di</w:t>
      </w:r>
      <w:r w:rsidR="000C5B79" w:rsidRPr="006A7674">
        <w:rPr>
          <w:rFonts w:ascii="Bookman Old Style" w:hAnsi="Bookman Old Style"/>
          <w:spacing w:val="4"/>
          <w:sz w:val="22"/>
          <w:szCs w:val="22"/>
        </w:rPr>
        <w:t>:</w:t>
      </w:r>
    </w:p>
    <w:p w14:paraId="3515797E" w14:textId="77777777" w:rsidR="000C5B79" w:rsidRPr="006A7674" w:rsidRDefault="000C5B79" w:rsidP="006A7674">
      <w:pPr>
        <w:pStyle w:val="testo"/>
        <w:numPr>
          <w:ilvl w:val="0"/>
          <w:numId w:val="1"/>
        </w:numPr>
        <w:spacing w:after="80" w:line="288" w:lineRule="auto"/>
        <w:rPr>
          <w:rFonts w:ascii="Bookman Old Style" w:hAnsi="Bookman Old Style"/>
          <w:spacing w:val="4"/>
          <w:sz w:val="22"/>
          <w:szCs w:val="22"/>
        </w:rPr>
      </w:pPr>
      <w:r w:rsidRPr="006A7674">
        <w:rPr>
          <w:rFonts w:ascii="Bookman Old Style" w:hAnsi="Bookman Old Style"/>
          <w:spacing w:val="4"/>
          <w:sz w:val="22"/>
          <w:szCs w:val="22"/>
        </w:rPr>
        <w:t>accertament</w:t>
      </w:r>
      <w:r w:rsidR="006D1EC2" w:rsidRPr="006A7674">
        <w:rPr>
          <w:rFonts w:ascii="Bookman Old Style" w:hAnsi="Bookman Old Style"/>
          <w:spacing w:val="4"/>
          <w:sz w:val="22"/>
          <w:szCs w:val="22"/>
        </w:rPr>
        <w:t>o</w:t>
      </w:r>
      <w:r w:rsidRPr="006A7674">
        <w:rPr>
          <w:rFonts w:ascii="Bookman Old Style" w:hAnsi="Bookman Old Style"/>
          <w:spacing w:val="4"/>
          <w:sz w:val="22"/>
          <w:szCs w:val="22"/>
        </w:rPr>
        <w:t xml:space="preserve"> con adesione;</w:t>
      </w:r>
    </w:p>
    <w:p w14:paraId="13E296C4" w14:textId="77777777" w:rsidR="000C5B79" w:rsidRPr="006A7674" w:rsidRDefault="0047728B" w:rsidP="006A7674">
      <w:pPr>
        <w:pStyle w:val="testo"/>
        <w:numPr>
          <w:ilvl w:val="0"/>
          <w:numId w:val="1"/>
        </w:numPr>
        <w:spacing w:after="80" w:line="288" w:lineRule="auto"/>
        <w:rPr>
          <w:rFonts w:ascii="Bookman Old Style" w:hAnsi="Bookman Old Style"/>
          <w:spacing w:val="4"/>
          <w:sz w:val="22"/>
          <w:szCs w:val="22"/>
        </w:rPr>
      </w:pPr>
      <w:r>
        <w:rPr>
          <w:rFonts w:ascii="Bookman Old Style" w:hAnsi="Bookman Old Style"/>
          <w:spacing w:val="4"/>
          <w:sz w:val="22"/>
          <w:szCs w:val="22"/>
        </w:rPr>
        <w:t xml:space="preserve">acquiescenza ad </w:t>
      </w:r>
      <w:r w:rsidR="000C5B79" w:rsidRPr="006A7674">
        <w:rPr>
          <w:rFonts w:ascii="Bookman Old Style" w:hAnsi="Bookman Old Style"/>
          <w:spacing w:val="4"/>
          <w:sz w:val="22"/>
          <w:szCs w:val="22"/>
        </w:rPr>
        <w:t>accertamento tributario emesso entro il 31 dicembre 2019;</w:t>
      </w:r>
    </w:p>
    <w:p w14:paraId="76BE9552" w14:textId="77777777" w:rsidR="000C5B79" w:rsidRPr="006A7674" w:rsidRDefault="0047728B" w:rsidP="006A7674">
      <w:pPr>
        <w:pStyle w:val="testo"/>
        <w:numPr>
          <w:ilvl w:val="0"/>
          <w:numId w:val="1"/>
        </w:numPr>
        <w:spacing w:after="80" w:line="288" w:lineRule="auto"/>
        <w:rPr>
          <w:rFonts w:ascii="Bookman Old Style" w:hAnsi="Bookman Old Style"/>
          <w:spacing w:val="4"/>
          <w:sz w:val="22"/>
          <w:szCs w:val="22"/>
        </w:rPr>
      </w:pPr>
      <w:r>
        <w:rPr>
          <w:rFonts w:ascii="Bookman Old Style" w:hAnsi="Bookman Old Style"/>
          <w:spacing w:val="4"/>
          <w:sz w:val="22"/>
          <w:szCs w:val="22"/>
        </w:rPr>
        <w:t xml:space="preserve">acquiescenza ad </w:t>
      </w:r>
      <w:r w:rsidR="006D1EC2" w:rsidRPr="006A7674">
        <w:rPr>
          <w:rFonts w:ascii="Bookman Old Style" w:hAnsi="Bookman Old Style"/>
          <w:spacing w:val="4"/>
          <w:sz w:val="22"/>
          <w:szCs w:val="22"/>
        </w:rPr>
        <w:t>accertamento</w:t>
      </w:r>
      <w:r w:rsidR="000C5B79" w:rsidRPr="006A7674">
        <w:rPr>
          <w:rFonts w:ascii="Bookman Old Style" w:hAnsi="Bookman Old Style"/>
          <w:spacing w:val="4"/>
          <w:sz w:val="22"/>
          <w:szCs w:val="22"/>
        </w:rPr>
        <w:t xml:space="preserve"> esecutiv</w:t>
      </w:r>
      <w:r w:rsidR="006D1EC2" w:rsidRPr="006A7674">
        <w:rPr>
          <w:rFonts w:ascii="Bookman Old Style" w:hAnsi="Bookman Old Style"/>
          <w:spacing w:val="4"/>
          <w:sz w:val="22"/>
          <w:szCs w:val="22"/>
        </w:rPr>
        <w:t>o</w:t>
      </w:r>
      <w:r w:rsidR="000C5B79" w:rsidRPr="006A7674">
        <w:rPr>
          <w:rStyle w:val="Rimandonotaapidipagina"/>
          <w:rFonts w:ascii="Bookman Old Style" w:hAnsi="Bookman Old Style"/>
          <w:spacing w:val="4"/>
          <w:sz w:val="22"/>
          <w:szCs w:val="22"/>
        </w:rPr>
        <w:footnoteReference w:id="35"/>
      </w:r>
      <w:r w:rsidR="006D1EC2" w:rsidRPr="006A7674">
        <w:rPr>
          <w:rFonts w:ascii="Bookman Old Style" w:hAnsi="Bookman Old Style"/>
          <w:spacing w:val="4"/>
          <w:sz w:val="22"/>
          <w:szCs w:val="22"/>
        </w:rPr>
        <w:t>;</w:t>
      </w:r>
    </w:p>
    <w:p w14:paraId="08736CDE" w14:textId="77777777" w:rsidR="006D1EC2" w:rsidRPr="006A7674" w:rsidRDefault="006D1EC2" w:rsidP="006A7674">
      <w:pPr>
        <w:pStyle w:val="testo"/>
        <w:numPr>
          <w:ilvl w:val="0"/>
          <w:numId w:val="1"/>
        </w:numPr>
        <w:spacing w:after="80" w:line="288" w:lineRule="auto"/>
        <w:rPr>
          <w:rFonts w:ascii="Bookman Old Style" w:hAnsi="Bookman Old Style"/>
          <w:spacing w:val="4"/>
          <w:sz w:val="22"/>
          <w:szCs w:val="22"/>
        </w:rPr>
      </w:pPr>
      <w:r w:rsidRPr="006A7674">
        <w:rPr>
          <w:rFonts w:ascii="Bookman Old Style" w:hAnsi="Bookman Old Style"/>
          <w:spacing w:val="4"/>
          <w:sz w:val="22"/>
          <w:szCs w:val="22"/>
        </w:rPr>
        <w:t>reclamo o mediazione ai sensi dell'articolo 17-</w:t>
      </w:r>
      <w:r w:rsidRPr="006A7674">
        <w:rPr>
          <w:rFonts w:ascii="Bookman Old Style" w:hAnsi="Bookman Old Style"/>
          <w:i/>
          <w:iCs/>
          <w:spacing w:val="4"/>
          <w:sz w:val="22"/>
          <w:szCs w:val="22"/>
        </w:rPr>
        <w:t>bis</w:t>
      </w:r>
      <w:r w:rsidRPr="006A7674">
        <w:rPr>
          <w:rFonts w:ascii="Bookman Old Style" w:hAnsi="Bookman Old Style"/>
          <w:spacing w:val="4"/>
          <w:sz w:val="22"/>
          <w:szCs w:val="22"/>
        </w:rPr>
        <w:t>, comma 6, del decreto legis</w:t>
      </w:r>
      <w:r w:rsidR="001D1585" w:rsidRPr="006A7674">
        <w:rPr>
          <w:rFonts w:ascii="Bookman Old Style" w:hAnsi="Bookman Old Style"/>
          <w:spacing w:val="4"/>
          <w:sz w:val="22"/>
          <w:szCs w:val="22"/>
        </w:rPr>
        <w:t>lativo 31 dicembre 1992, n. 546.</w:t>
      </w:r>
    </w:p>
    <w:p w14:paraId="4F2440B6" w14:textId="77777777" w:rsidR="006D1EC2" w:rsidRPr="006A7674" w:rsidRDefault="001D1585"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2. La regolarizzazione di cui al comma 1 può essere effettuata anche con riferimento agli importi, anche rateali</w:t>
      </w:r>
      <w:r w:rsidRPr="006A7674">
        <w:rPr>
          <w:rStyle w:val="Rimandonotaapidipagina"/>
          <w:rFonts w:ascii="Bookman Old Style" w:hAnsi="Bookman Old Style"/>
          <w:spacing w:val="4"/>
          <w:sz w:val="22"/>
          <w:szCs w:val="22"/>
        </w:rPr>
        <w:footnoteReference w:id="36"/>
      </w:r>
      <w:r w:rsidRPr="006A7674">
        <w:rPr>
          <w:rFonts w:ascii="Bookman Old Style" w:hAnsi="Bookman Old Style"/>
          <w:spacing w:val="4"/>
          <w:sz w:val="22"/>
          <w:szCs w:val="22"/>
        </w:rPr>
        <w:t>, relativi alle conciliazioni di cui agli articoli 48 e 48-</w:t>
      </w:r>
      <w:r w:rsidRPr="006A7674">
        <w:rPr>
          <w:rFonts w:ascii="Bookman Old Style" w:hAnsi="Bookman Old Style"/>
          <w:i/>
          <w:iCs/>
          <w:spacing w:val="4"/>
          <w:sz w:val="22"/>
          <w:szCs w:val="22"/>
        </w:rPr>
        <w:t>bis</w:t>
      </w:r>
      <w:r w:rsidRPr="006A7674">
        <w:rPr>
          <w:rFonts w:ascii="Bookman Old Style" w:hAnsi="Bookman Old Style"/>
          <w:spacing w:val="4"/>
          <w:sz w:val="22"/>
          <w:szCs w:val="22"/>
        </w:rPr>
        <w:t xml:space="preserve"> del decreto legislativo 31 dicembre 1992, n. 546, scaduti alla data d</w:t>
      </w:r>
      <w:r w:rsidR="00BE2835" w:rsidRPr="006A7674">
        <w:rPr>
          <w:rFonts w:ascii="Bookman Old Style" w:hAnsi="Bookman Old Style"/>
          <w:spacing w:val="4"/>
          <w:sz w:val="22"/>
          <w:szCs w:val="22"/>
        </w:rPr>
        <w:t>el 1° gennaio 2023.</w:t>
      </w:r>
    </w:p>
    <w:p w14:paraId="3CD36B92" w14:textId="16F2DB15" w:rsidR="00BE2835" w:rsidRPr="006A7674" w:rsidRDefault="00BE2835" w:rsidP="006A7674">
      <w:pPr>
        <w:pStyle w:val="testo"/>
        <w:spacing w:after="80" w:line="288" w:lineRule="auto"/>
        <w:rPr>
          <w:rFonts w:ascii="Bookman Old Style" w:hAnsi="Bookman Old Style"/>
          <w:spacing w:val="4"/>
          <w:sz w:val="22"/>
          <w:szCs w:val="22"/>
        </w:rPr>
      </w:pPr>
      <w:r w:rsidRPr="003F1A7C">
        <w:rPr>
          <w:rFonts w:ascii="Bookman Old Style" w:hAnsi="Bookman Old Style"/>
          <w:spacing w:val="4"/>
          <w:sz w:val="22"/>
          <w:szCs w:val="22"/>
        </w:rPr>
        <w:t>3. La regolarizzazione di cui ai commi 1 e 2 avviene mediante il versamento integrale della sola imposta ed a condizione che non sia stata ancora notificata</w:t>
      </w:r>
      <w:r w:rsidR="00F614F7" w:rsidRPr="003F1A7C">
        <w:rPr>
          <w:rFonts w:ascii="Bookman Old Style" w:hAnsi="Bookman Old Style"/>
          <w:spacing w:val="4"/>
          <w:sz w:val="22"/>
          <w:szCs w:val="22"/>
        </w:rPr>
        <w:t>, alla data di pagamento della prima rata</w:t>
      </w:r>
      <w:r w:rsidRPr="003F1A7C">
        <w:rPr>
          <w:rStyle w:val="Rimandonotaapidipagina"/>
          <w:rFonts w:ascii="Bookman Old Style" w:hAnsi="Bookman Old Style"/>
          <w:spacing w:val="4"/>
          <w:sz w:val="22"/>
          <w:szCs w:val="22"/>
        </w:rPr>
        <w:footnoteReference w:id="37"/>
      </w:r>
      <w:r w:rsidR="00E214EE" w:rsidRPr="003F1A7C">
        <w:rPr>
          <w:rFonts w:ascii="Bookman Old Style" w:hAnsi="Bookman Old Style"/>
          <w:spacing w:val="4"/>
          <w:sz w:val="22"/>
          <w:szCs w:val="22"/>
        </w:rPr>
        <w:t>,</w:t>
      </w:r>
      <w:r w:rsidRPr="003F1A7C">
        <w:rPr>
          <w:rFonts w:ascii="Bookman Old Style" w:hAnsi="Bookman Old Style"/>
          <w:spacing w:val="4"/>
          <w:sz w:val="22"/>
          <w:szCs w:val="22"/>
        </w:rPr>
        <w:t xml:space="preserve"> la cartella di pagamento/ingiunzione ovvero l’atto di intimazione</w:t>
      </w:r>
      <w:r w:rsidRPr="003F1A7C">
        <w:rPr>
          <w:rStyle w:val="Rimandonotaapidipagina"/>
          <w:rFonts w:ascii="Bookman Old Style" w:hAnsi="Bookman Old Style"/>
          <w:spacing w:val="4"/>
          <w:sz w:val="22"/>
          <w:szCs w:val="22"/>
        </w:rPr>
        <w:footnoteReference w:id="38"/>
      </w:r>
      <w:r w:rsidRPr="003F1A7C">
        <w:rPr>
          <w:rFonts w:ascii="Bookman Old Style" w:hAnsi="Bookman Old Style"/>
          <w:spacing w:val="4"/>
          <w:sz w:val="22"/>
          <w:szCs w:val="22"/>
        </w:rPr>
        <w:t>.</w:t>
      </w:r>
    </w:p>
    <w:p w14:paraId="15D297A2" w14:textId="77777777" w:rsidR="0099046A" w:rsidRPr="006A7674" w:rsidRDefault="0099046A" w:rsidP="006A7674">
      <w:pPr>
        <w:pStyle w:val="testo"/>
        <w:spacing w:after="80" w:line="288" w:lineRule="auto"/>
        <w:rPr>
          <w:rFonts w:ascii="Bookman Old Style" w:hAnsi="Bookman Old Style"/>
          <w:spacing w:val="4"/>
          <w:sz w:val="22"/>
          <w:szCs w:val="22"/>
        </w:rPr>
      </w:pPr>
    </w:p>
    <w:p w14:paraId="4B0FE24A" w14:textId="77777777" w:rsidR="0099046A" w:rsidRPr="006A7674" w:rsidRDefault="0099046A" w:rsidP="006A7674">
      <w:pPr>
        <w:pStyle w:val="Titolo3"/>
        <w:spacing w:after="80" w:line="288" w:lineRule="auto"/>
        <w:jc w:val="left"/>
        <w:rPr>
          <w:rFonts w:ascii="Bookman Old Style" w:hAnsi="Bookman Old Style"/>
          <w:i/>
          <w:sz w:val="22"/>
          <w:szCs w:val="22"/>
        </w:rPr>
      </w:pPr>
      <w:bookmarkStart w:id="16" w:name="_Toc128489468"/>
      <w:r w:rsidRPr="006A7674">
        <w:rPr>
          <w:rFonts w:ascii="Bookman Old Style" w:hAnsi="Bookman Old Style"/>
          <w:sz w:val="22"/>
          <w:szCs w:val="22"/>
        </w:rPr>
        <w:t>Articolo 12 – Perfezionamento della regolarizzazione</w:t>
      </w:r>
      <w:bookmarkEnd w:id="16"/>
    </w:p>
    <w:p w14:paraId="3B6912D1" w14:textId="0601C116" w:rsidR="0099046A" w:rsidRPr="006A7674" w:rsidRDefault="0099046A" w:rsidP="006A7674">
      <w:pPr>
        <w:pStyle w:val="testo"/>
        <w:spacing w:after="80" w:line="288" w:lineRule="auto"/>
        <w:rPr>
          <w:rFonts w:ascii="Bookman Old Style" w:hAnsi="Bookman Old Style"/>
          <w:spacing w:val="4"/>
          <w:sz w:val="22"/>
          <w:szCs w:val="22"/>
        </w:rPr>
      </w:pPr>
      <w:r w:rsidRPr="00980667">
        <w:rPr>
          <w:rFonts w:ascii="Bookman Old Style" w:hAnsi="Bookman Old Style"/>
          <w:spacing w:val="4"/>
          <w:sz w:val="22"/>
          <w:szCs w:val="22"/>
        </w:rPr>
        <w:t xml:space="preserve">1. </w:t>
      </w:r>
      <w:r w:rsidR="00FD0488" w:rsidRPr="00980667">
        <w:rPr>
          <w:rFonts w:ascii="Bookman Old Style" w:hAnsi="Bookman Old Style"/>
          <w:spacing w:val="4"/>
          <w:sz w:val="22"/>
          <w:szCs w:val="22"/>
        </w:rPr>
        <w:t xml:space="preserve">La </w:t>
      </w:r>
      <w:r w:rsidR="000A5B2A" w:rsidRPr="00980667">
        <w:rPr>
          <w:rFonts w:ascii="Bookman Old Style" w:hAnsi="Bookman Old Style"/>
          <w:spacing w:val="4"/>
          <w:sz w:val="22"/>
          <w:szCs w:val="22"/>
        </w:rPr>
        <w:t>regolarizzazione di cui all’articolo 11</w:t>
      </w:r>
      <w:r w:rsidR="00FD0488" w:rsidRPr="00980667">
        <w:rPr>
          <w:rFonts w:ascii="Bookman Old Style" w:hAnsi="Bookman Old Style"/>
          <w:spacing w:val="4"/>
          <w:sz w:val="22"/>
          <w:szCs w:val="22"/>
        </w:rPr>
        <w:t xml:space="preserve"> si perfeziona con l'integrale versamento di quanto dovuto entro il 3</w:t>
      </w:r>
      <w:r w:rsidR="000A5B2A" w:rsidRPr="00980667">
        <w:rPr>
          <w:rFonts w:ascii="Bookman Old Style" w:hAnsi="Bookman Old Style"/>
          <w:spacing w:val="4"/>
          <w:sz w:val="22"/>
          <w:szCs w:val="22"/>
        </w:rPr>
        <w:t>0 giugno 2023</w:t>
      </w:r>
      <w:r w:rsidR="000A5B2A" w:rsidRPr="00980667">
        <w:rPr>
          <w:rStyle w:val="Rimandonotaapidipagina"/>
          <w:rFonts w:ascii="Bookman Old Style" w:hAnsi="Bookman Old Style"/>
          <w:spacing w:val="4"/>
          <w:sz w:val="22"/>
          <w:szCs w:val="22"/>
        </w:rPr>
        <w:footnoteReference w:id="39"/>
      </w:r>
      <w:r w:rsidR="00161D34" w:rsidRPr="00980667">
        <w:rPr>
          <w:rFonts w:ascii="Bookman Old Style" w:hAnsi="Bookman Old Style"/>
          <w:spacing w:val="4"/>
          <w:sz w:val="22"/>
          <w:szCs w:val="22"/>
        </w:rPr>
        <w:t>,</w:t>
      </w:r>
      <w:r w:rsidR="00FD0488" w:rsidRPr="00980667">
        <w:rPr>
          <w:rFonts w:ascii="Bookman Old Style" w:hAnsi="Bookman Old Style"/>
          <w:spacing w:val="4"/>
          <w:sz w:val="22"/>
          <w:szCs w:val="22"/>
        </w:rPr>
        <w:t xml:space="preserve"> oppure con il versamento di un numero </w:t>
      </w:r>
      <w:r w:rsidR="00FD0488" w:rsidRPr="00980667">
        <w:rPr>
          <w:rFonts w:ascii="Bookman Old Style" w:hAnsi="Bookman Old Style"/>
          <w:spacing w:val="4"/>
          <w:sz w:val="22"/>
          <w:szCs w:val="22"/>
        </w:rPr>
        <w:lastRenderedPageBreak/>
        <w:t>massimo di venti rate trimestrali di pari importo con scadenza della prima rata il 3</w:t>
      </w:r>
      <w:r w:rsidR="009E1820" w:rsidRPr="00980667">
        <w:rPr>
          <w:rFonts w:ascii="Bookman Old Style" w:hAnsi="Bookman Old Style"/>
          <w:spacing w:val="4"/>
          <w:sz w:val="22"/>
          <w:szCs w:val="22"/>
        </w:rPr>
        <w:t>0 giugno 2023</w:t>
      </w:r>
      <w:r w:rsidR="00FD0488" w:rsidRPr="00980667">
        <w:rPr>
          <w:rFonts w:ascii="Bookman Old Style" w:hAnsi="Bookman Old Style"/>
          <w:spacing w:val="4"/>
          <w:sz w:val="22"/>
          <w:szCs w:val="22"/>
        </w:rPr>
        <w:t xml:space="preserve">. Sull'importo delle rate successive alla prima, con scadenza il 30 giugno, il 30 settembre, il 20 dicembre e il 31 marzo di ciascun anno, sono dovuti gli interessi legali calcolati dal giorno successivo al termine per il versamento della prima rata. </w:t>
      </w:r>
      <w:r w:rsidR="009E1820" w:rsidRPr="00980667">
        <w:rPr>
          <w:rFonts w:ascii="Bookman Old Style" w:hAnsi="Bookman Old Style"/>
          <w:spacing w:val="4"/>
          <w:sz w:val="22"/>
          <w:szCs w:val="22"/>
        </w:rPr>
        <w:t>È</w:t>
      </w:r>
      <w:r w:rsidR="00FD0488" w:rsidRPr="00980667">
        <w:rPr>
          <w:rFonts w:ascii="Bookman Old Style" w:hAnsi="Bookman Old Style"/>
          <w:spacing w:val="4"/>
          <w:sz w:val="22"/>
          <w:szCs w:val="22"/>
        </w:rPr>
        <w:t xml:space="preserve"> esclusa la compensazione prevista dall'articolo 17 del decreto legislativo 9 luglio 1997, n. 241</w:t>
      </w:r>
      <w:r w:rsidR="009E1820" w:rsidRPr="00980667">
        <w:rPr>
          <w:rFonts w:ascii="Bookman Old Style" w:hAnsi="Bookman Old Style"/>
          <w:spacing w:val="4"/>
          <w:sz w:val="22"/>
          <w:szCs w:val="22"/>
        </w:rPr>
        <w:t>.</w:t>
      </w:r>
      <w:r w:rsidR="0099048A" w:rsidRPr="00980667">
        <w:rPr>
          <w:rFonts w:ascii="Bookman Old Style" w:hAnsi="Bookman Old Style"/>
          <w:spacing w:val="4"/>
          <w:sz w:val="22"/>
          <w:szCs w:val="22"/>
        </w:rPr>
        <w:t xml:space="preserve"> Non trova applicazione l’articolo 15-</w:t>
      </w:r>
      <w:r w:rsidR="0099048A" w:rsidRPr="00980667">
        <w:rPr>
          <w:rFonts w:ascii="Bookman Old Style" w:hAnsi="Bookman Old Style"/>
          <w:i/>
          <w:iCs/>
          <w:spacing w:val="4"/>
          <w:sz w:val="22"/>
          <w:szCs w:val="22"/>
        </w:rPr>
        <w:t>ter</w:t>
      </w:r>
      <w:r w:rsidR="0099048A" w:rsidRPr="00980667">
        <w:rPr>
          <w:rFonts w:ascii="Bookman Old Style" w:hAnsi="Bookman Old Style"/>
          <w:spacing w:val="4"/>
          <w:sz w:val="22"/>
          <w:szCs w:val="22"/>
        </w:rPr>
        <w:t>, decreto Presidente della Repubblica 29 settembre 1973, n. 602.</w:t>
      </w:r>
    </w:p>
    <w:p w14:paraId="49039EE9" w14:textId="77777777" w:rsidR="0099046A" w:rsidRPr="006A7674" w:rsidRDefault="00704D21"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2. In caso di mancato perfezionamento della regolarizzazione, non si producono gli effetti di cui all’articolo 11, comma 3</w:t>
      </w:r>
      <w:r w:rsidR="00195113">
        <w:rPr>
          <w:rFonts w:ascii="Bookman Old Style" w:hAnsi="Bookman Old Style"/>
          <w:spacing w:val="4"/>
          <w:sz w:val="22"/>
          <w:szCs w:val="22"/>
        </w:rPr>
        <w:t>,</w:t>
      </w:r>
      <w:r w:rsidRPr="006A7674">
        <w:rPr>
          <w:rFonts w:ascii="Bookman Old Style" w:hAnsi="Bookman Old Style"/>
          <w:spacing w:val="4"/>
          <w:sz w:val="22"/>
          <w:szCs w:val="22"/>
        </w:rPr>
        <w:t xml:space="preserve"> e il </w:t>
      </w:r>
      <w:r w:rsidR="00BF53FD" w:rsidRPr="006A7674">
        <w:rPr>
          <w:rFonts w:ascii="Bookman Old Style" w:hAnsi="Bookman Old Style"/>
          <w:spacing w:val="4"/>
          <w:sz w:val="22"/>
          <w:szCs w:val="22"/>
        </w:rPr>
        <w:t xml:space="preserve">Comune impositore </w:t>
      </w:r>
      <w:r w:rsidRPr="006A7674">
        <w:rPr>
          <w:rFonts w:ascii="Bookman Old Style" w:hAnsi="Bookman Old Style"/>
          <w:spacing w:val="4"/>
          <w:sz w:val="22"/>
          <w:szCs w:val="22"/>
        </w:rPr>
        <w:t>procede all</w:t>
      </w:r>
      <w:r w:rsidR="00BF53FD" w:rsidRPr="006A7674">
        <w:rPr>
          <w:rFonts w:ascii="Bookman Old Style" w:hAnsi="Bookman Old Style"/>
          <w:spacing w:val="4"/>
          <w:sz w:val="22"/>
          <w:szCs w:val="22"/>
        </w:rPr>
        <w:t xml:space="preserve">a riscossione coattiva </w:t>
      </w:r>
      <w:r w:rsidRPr="006A7674">
        <w:rPr>
          <w:rFonts w:ascii="Bookman Old Style" w:hAnsi="Bookman Old Style"/>
          <w:spacing w:val="4"/>
          <w:sz w:val="22"/>
          <w:szCs w:val="22"/>
        </w:rPr>
        <w:t>dei residui importi dovuti a titolo di imposta, interessi e sanzioni, nonché della sanzione di cui all'articolo 13 del decreto legislativo 18 dicembre 1997, n. 471, applicata sul residuo importo dov</w:t>
      </w:r>
      <w:r w:rsidR="00195113">
        <w:rPr>
          <w:rFonts w:ascii="Bookman Old Style" w:hAnsi="Bookman Old Style"/>
          <w:spacing w:val="4"/>
          <w:sz w:val="22"/>
          <w:szCs w:val="22"/>
        </w:rPr>
        <w:t>uto a titolo di imposta. In tale</w:t>
      </w:r>
      <w:r w:rsidRPr="006A7674">
        <w:rPr>
          <w:rFonts w:ascii="Bookman Old Style" w:hAnsi="Bookman Old Style"/>
          <w:spacing w:val="4"/>
          <w:sz w:val="22"/>
          <w:szCs w:val="22"/>
        </w:rPr>
        <w:t xml:space="preserve"> ipotesi</w:t>
      </w:r>
      <w:r w:rsidR="00195113">
        <w:rPr>
          <w:rFonts w:ascii="Bookman Old Style" w:hAnsi="Bookman Old Style"/>
          <w:spacing w:val="4"/>
          <w:sz w:val="22"/>
          <w:szCs w:val="22"/>
        </w:rPr>
        <w:t>,</w:t>
      </w:r>
      <w:r w:rsidRPr="006A7674">
        <w:rPr>
          <w:rFonts w:ascii="Bookman Old Style" w:hAnsi="Bookman Old Style"/>
          <w:spacing w:val="4"/>
          <w:sz w:val="22"/>
          <w:szCs w:val="22"/>
        </w:rPr>
        <w:t xml:space="preserve"> </w:t>
      </w:r>
      <w:r w:rsidR="00BF53FD" w:rsidRPr="006A7674">
        <w:rPr>
          <w:rFonts w:ascii="Bookman Old Style" w:hAnsi="Bookman Old Style"/>
          <w:spacing w:val="4"/>
          <w:sz w:val="22"/>
          <w:szCs w:val="22"/>
        </w:rPr>
        <w:t>il titolo esecutivo</w:t>
      </w:r>
      <w:r w:rsidR="006C21EF" w:rsidRPr="006A7674">
        <w:rPr>
          <w:rFonts w:ascii="Bookman Old Style" w:hAnsi="Bookman Old Style"/>
          <w:spacing w:val="4"/>
          <w:sz w:val="22"/>
          <w:szCs w:val="22"/>
        </w:rPr>
        <w:t xml:space="preserve"> o l’intimazione ad adempiere </w:t>
      </w:r>
      <w:r w:rsidR="008F2C1E" w:rsidRPr="006A7674">
        <w:rPr>
          <w:rFonts w:ascii="Bookman Old Style" w:hAnsi="Bookman Old Style"/>
          <w:spacing w:val="4"/>
          <w:sz w:val="22"/>
          <w:szCs w:val="22"/>
        </w:rPr>
        <w:t>devono essere notificati</w:t>
      </w:r>
      <w:r w:rsidRPr="006A7674">
        <w:rPr>
          <w:rFonts w:ascii="Bookman Old Style" w:hAnsi="Bookman Old Style"/>
          <w:spacing w:val="4"/>
          <w:sz w:val="22"/>
          <w:szCs w:val="22"/>
        </w:rPr>
        <w:t xml:space="preserve"> entro il termine di decadenza del 31 dicembre del terzo anno successivo a quello in cui si è verificato l'omesso versamento integrale o parziale di quanto dovuto</w:t>
      </w:r>
      <w:r w:rsidR="006C21EF" w:rsidRPr="006A7674">
        <w:rPr>
          <w:rStyle w:val="Rimandonotaapidipagina"/>
          <w:rFonts w:ascii="Bookman Old Style" w:hAnsi="Bookman Old Style"/>
          <w:spacing w:val="4"/>
          <w:sz w:val="22"/>
          <w:szCs w:val="22"/>
        </w:rPr>
        <w:footnoteReference w:id="40"/>
      </w:r>
      <w:r w:rsidR="004B72E0" w:rsidRPr="006A7674">
        <w:rPr>
          <w:rFonts w:ascii="Bookman Old Style" w:hAnsi="Bookman Old Style"/>
          <w:spacing w:val="4"/>
          <w:sz w:val="22"/>
          <w:szCs w:val="22"/>
        </w:rPr>
        <w:t>.</w:t>
      </w:r>
    </w:p>
    <w:p w14:paraId="2AF43952" w14:textId="77777777" w:rsidR="0099046A" w:rsidRPr="006A7674" w:rsidRDefault="0099046A" w:rsidP="006A7674">
      <w:pPr>
        <w:pStyle w:val="testo"/>
        <w:spacing w:after="80" w:line="288" w:lineRule="auto"/>
        <w:rPr>
          <w:rFonts w:ascii="Bookman Old Style" w:hAnsi="Bookman Old Style"/>
          <w:spacing w:val="4"/>
          <w:sz w:val="22"/>
          <w:szCs w:val="22"/>
        </w:rPr>
      </w:pPr>
    </w:p>
    <w:p w14:paraId="7647CF1C" w14:textId="77777777" w:rsidR="000E3221" w:rsidRPr="006A7674" w:rsidRDefault="000E3221" w:rsidP="006A7674">
      <w:pPr>
        <w:pStyle w:val="testo"/>
        <w:spacing w:after="80" w:line="288" w:lineRule="auto"/>
        <w:rPr>
          <w:rFonts w:ascii="Bookman Old Style" w:hAnsi="Bookman Old Style"/>
          <w:spacing w:val="4"/>
          <w:sz w:val="22"/>
          <w:szCs w:val="22"/>
        </w:rPr>
      </w:pPr>
    </w:p>
    <w:p w14:paraId="3BE15A96" w14:textId="77777777" w:rsidR="000E3221" w:rsidRPr="006A7674" w:rsidRDefault="000E3221" w:rsidP="006A7674">
      <w:pPr>
        <w:pStyle w:val="Titolo3"/>
        <w:spacing w:after="80" w:line="288" w:lineRule="auto"/>
        <w:rPr>
          <w:rFonts w:ascii="Bookman Old Style" w:hAnsi="Bookman Old Style"/>
          <w:sz w:val="22"/>
          <w:szCs w:val="22"/>
        </w:rPr>
      </w:pPr>
      <w:bookmarkStart w:id="17" w:name="_Toc128489469"/>
      <w:r w:rsidRPr="006A7674">
        <w:rPr>
          <w:rFonts w:ascii="Bookman Old Style" w:hAnsi="Bookman Old Style"/>
          <w:sz w:val="22"/>
          <w:szCs w:val="22"/>
        </w:rPr>
        <w:t>CAPO V – DISPOSIZIONI FINALI</w:t>
      </w:r>
      <w:bookmarkEnd w:id="17"/>
    </w:p>
    <w:p w14:paraId="4F5CF83E" w14:textId="77777777" w:rsidR="00686151" w:rsidRPr="006A7674" w:rsidRDefault="00686151" w:rsidP="006A7674">
      <w:pPr>
        <w:pStyle w:val="testo"/>
        <w:spacing w:after="80" w:line="288" w:lineRule="auto"/>
        <w:rPr>
          <w:rFonts w:ascii="Bookman Old Style" w:hAnsi="Bookman Old Style"/>
          <w:spacing w:val="4"/>
          <w:sz w:val="22"/>
          <w:szCs w:val="22"/>
        </w:rPr>
      </w:pPr>
    </w:p>
    <w:p w14:paraId="3CAC54DD" w14:textId="77777777" w:rsidR="006F52E3" w:rsidRPr="006A7674" w:rsidRDefault="006F52E3" w:rsidP="006A7674">
      <w:pPr>
        <w:pStyle w:val="Titolo3"/>
        <w:spacing w:after="80" w:line="288" w:lineRule="auto"/>
        <w:jc w:val="left"/>
        <w:rPr>
          <w:rFonts w:ascii="Bookman Old Style" w:hAnsi="Bookman Old Style"/>
          <w:i/>
          <w:sz w:val="22"/>
          <w:szCs w:val="22"/>
        </w:rPr>
      </w:pPr>
      <w:bookmarkStart w:id="18" w:name="_Toc128489470"/>
      <w:r w:rsidRPr="006A7674">
        <w:rPr>
          <w:rFonts w:ascii="Bookman Old Style" w:hAnsi="Bookman Old Style"/>
          <w:sz w:val="22"/>
          <w:szCs w:val="22"/>
        </w:rPr>
        <w:t xml:space="preserve">Articolo </w:t>
      </w:r>
      <w:r w:rsidR="000E3221" w:rsidRPr="006A7674">
        <w:rPr>
          <w:rFonts w:ascii="Bookman Old Style" w:hAnsi="Bookman Old Style"/>
          <w:sz w:val="22"/>
          <w:szCs w:val="22"/>
        </w:rPr>
        <w:t>13</w:t>
      </w:r>
      <w:r w:rsidRPr="006A7674">
        <w:rPr>
          <w:rFonts w:ascii="Bookman Old Style" w:hAnsi="Bookman Old Style"/>
          <w:sz w:val="22"/>
          <w:szCs w:val="22"/>
        </w:rPr>
        <w:t xml:space="preserve"> – </w:t>
      </w:r>
      <w:r w:rsidRPr="006A7674">
        <w:rPr>
          <w:rFonts w:ascii="Bookman Old Style" w:hAnsi="Bookman Old Style"/>
          <w:i/>
          <w:sz w:val="22"/>
          <w:szCs w:val="22"/>
        </w:rPr>
        <w:t>Entrata in vigore</w:t>
      </w:r>
      <w:bookmarkEnd w:id="18"/>
    </w:p>
    <w:p w14:paraId="57F4DD24" w14:textId="2101049F" w:rsidR="006F52E3" w:rsidRPr="006A7674" w:rsidRDefault="006F52E3" w:rsidP="00155F09">
      <w:pPr>
        <w:pStyle w:val="testo"/>
        <w:spacing w:after="80" w:line="288" w:lineRule="auto"/>
        <w:rPr>
          <w:rFonts w:ascii="Bookman Old Style" w:hAnsi="Bookman Old Style"/>
        </w:rPr>
      </w:pPr>
      <w:r w:rsidRPr="006A7674">
        <w:rPr>
          <w:rFonts w:ascii="Bookman Old Style" w:hAnsi="Bookman Old Style"/>
          <w:spacing w:val="4"/>
          <w:sz w:val="22"/>
          <w:szCs w:val="22"/>
        </w:rPr>
        <w:t>1. Il presente regolamento entra in vigore lo stesso giorno della sua approvazione</w:t>
      </w:r>
      <w:r w:rsidR="00980667">
        <w:rPr>
          <w:rStyle w:val="Rimandonotaapidipagina"/>
          <w:rFonts w:ascii="Bookman Old Style" w:hAnsi="Bookman Old Style"/>
          <w:spacing w:val="4"/>
          <w:sz w:val="22"/>
          <w:szCs w:val="22"/>
        </w:rPr>
        <w:footnoteReference w:id="41"/>
      </w:r>
      <w:r w:rsidRPr="006A7674">
        <w:rPr>
          <w:rFonts w:ascii="Bookman Old Style" w:hAnsi="Bookman Old Style"/>
          <w:spacing w:val="4"/>
          <w:sz w:val="22"/>
          <w:szCs w:val="22"/>
        </w:rPr>
        <w:t>.</w:t>
      </w:r>
    </w:p>
    <w:sectPr w:rsidR="006F52E3" w:rsidRPr="006A7674" w:rsidSect="00AB64DC">
      <w:headerReference w:type="default" r:id="rId8"/>
      <w:footerReference w:type="default" r:id="rId9"/>
      <w:pgSz w:w="11906" w:h="16838"/>
      <w:pgMar w:top="1417" w:right="1134" w:bottom="1560"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83AE5" w14:textId="77777777" w:rsidR="00431454" w:rsidRDefault="00431454" w:rsidP="00356366">
      <w:r>
        <w:separator/>
      </w:r>
    </w:p>
  </w:endnote>
  <w:endnote w:type="continuationSeparator" w:id="0">
    <w:p w14:paraId="4FF52207" w14:textId="77777777" w:rsidR="00431454" w:rsidRDefault="00431454" w:rsidP="00356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1685123"/>
      <w:docPartObj>
        <w:docPartGallery w:val="Page Numbers (Bottom of Page)"/>
        <w:docPartUnique/>
      </w:docPartObj>
    </w:sdtPr>
    <w:sdtEndPr/>
    <w:sdtContent>
      <w:p w14:paraId="737EDC24" w14:textId="77777777" w:rsidR="00BF4233" w:rsidRDefault="00BF4233">
        <w:pPr>
          <w:pStyle w:val="Pidipagina"/>
          <w:jc w:val="right"/>
        </w:pPr>
        <w:r>
          <w:fldChar w:fldCharType="begin"/>
        </w:r>
        <w:r>
          <w:instrText>PAGE   \* MERGEFORMAT</w:instrText>
        </w:r>
        <w:r>
          <w:fldChar w:fldCharType="separate"/>
        </w:r>
        <w:r w:rsidR="005B3D5B">
          <w:rPr>
            <w:noProof/>
          </w:rPr>
          <w:t>1</w:t>
        </w:r>
        <w:r>
          <w:fldChar w:fldCharType="end"/>
        </w:r>
      </w:p>
    </w:sdtContent>
  </w:sdt>
  <w:p w14:paraId="64D037E1" w14:textId="77777777" w:rsidR="00873FD7" w:rsidRDefault="0043145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4FF5C" w14:textId="77777777" w:rsidR="00431454" w:rsidRDefault="00431454" w:rsidP="00356366">
      <w:r>
        <w:separator/>
      </w:r>
    </w:p>
  </w:footnote>
  <w:footnote w:type="continuationSeparator" w:id="0">
    <w:p w14:paraId="7622AC5A" w14:textId="77777777" w:rsidR="00431454" w:rsidRDefault="00431454" w:rsidP="00356366">
      <w:r>
        <w:continuationSeparator/>
      </w:r>
    </w:p>
  </w:footnote>
  <w:footnote w:id="1">
    <w:p w14:paraId="556D7B60" w14:textId="77777777" w:rsidR="005548F9" w:rsidRDefault="005548F9">
      <w:pPr>
        <w:pStyle w:val="Testonotaapidipagina"/>
      </w:pPr>
      <w:r>
        <w:rPr>
          <w:rStyle w:val="Rimandonotaapidipagina"/>
        </w:rPr>
        <w:footnoteRef/>
      </w:r>
      <w:r>
        <w:t xml:space="preserve"> </w:t>
      </w:r>
      <w:r w:rsidRPr="006A7674">
        <w:t>Sono pertanto escluse le controversie che</w:t>
      </w:r>
      <w:r w:rsidR="003E2139">
        <w:t>,</w:t>
      </w:r>
      <w:r w:rsidRPr="006A7674">
        <w:t xml:space="preserve"> pur riguardando atti emessi dal Comune</w:t>
      </w:r>
      <w:r w:rsidR="003E2139">
        <w:t>,</w:t>
      </w:r>
      <w:r w:rsidRPr="006A7674">
        <w:t xml:space="preserve"> n</w:t>
      </w:r>
      <w:r w:rsidR="003E2139">
        <w:t>on vedono come parte processuale</w:t>
      </w:r>
      <w:r w:rsidRPr="006A7674">
        <w:t xml:space="preserve"> il Comune stesso.</w:t>
      </w:r>
      <w:r>
        <w:t xml:space="preserve"> Ipotesi, questa, che si verifica normalmente in caso di impugnazione della cartella di pagamento, con ricorso non notificato anche al Comune. Sul punto si veda la nota </w:t>
      </w:r>
      <w:r w:rsidR="004F681D">
        <w:t>I</w:t>
      </w:r>
      <w:r>
        <w:t>FEL</w:t>
      </w:r>
      <w:r w:rsidR="00DF0C55">
        <w:t>,</w:t>
      </w:r>
      <w:r>
        <w:t xml:space="preserve"> del 7 gennaio 20</w:t>
      </w:r>
      <w:r w:rsidR="00894AA2">
        <w:t>2</w:t>
      </w:r>
      <w:r>
        <w:t>3</w:t>
      </w:r>
      <w:r w:rsidR="00DF0C55">
        <w:t>,</w:t>
      </w:r>
      <w:r w:rsidR="00DF0C55">
        <w:rPr>
          <w:i/>
          <w:iCs/>
        </w:rPr>
        <w:t xml:space="preserve"> </w:t>
      </w:r>
      <w:hyperlink r:id="rId1" w:history="1">
        <w:r w:rsidR="00DF0C55">
          <w:rPr>
            <w:rStyle w:val="Collegamentoipertestuale"/>
          </w:rPr>
          <w:t>Legge di bilancio 2023 – Gli interventi di definizione agevolata dei contenziosi e di abbattimento dei crediti affidati all’agenzia delle Entrate-Riscossione (fondazioneifel.it)</w:t>
        </w:r>
      </w:hyperlink>
      <w:r w:rsidR="00DF0C55">
        <w:t>.</w:t>
      </w:r>
    </w:p>
  </w:footnote>
  <w:footnote w:id="2">
    <w:p w14:paraId="642303EA" w14:textId="77777777" w:rsidR="00356366" w:rsidRDefault="00356366">
      <w:pPr>
        <w:pStyle w:val="Testonotaapidipagina"/>
      </w:pPr>
      <w:r>
        <w:rPr>
          <w:rStyle w:val="Rimandonotaapidipagina"/>
        </w:rPr>
        <w:footnoteRef/>
      </w:r>
      <w:r>
        <w:t xml:space="preserve"> </w:t>
      </w:r>
      <w:r w:rsidRPr="00356366">
        <w:t>Nell’ipotesi in cui il Comune abbia affidato in concessione la riscossione coattiva</w:t>
      </w:r>
      <w:r>
        <w:t>.</w:t>
      </w:r>
    </w:p>
  </w:footnote>
  <w:footnote w:id="3">
    <w:p w14:paraId="2E5A1362" w14:textId="0D4640E8" w:rsidR="0008250C" w:rsidRDefault="00FE462D">
      <w:pPr>
        <w:pStyle w:val="Testonotaapidipagina"/>
      </w:pPr>
      <w:r w:rsidRPr="003F1A7C">
        <w:rPr>
          <w:rStyle w:val="Rimandonotaapidipagina"/>
        </w:rPr>
        <w:footnoteRef/>
      </w:r>
      <w:r w:rsidRPr="003F1A7C">
        <w:t xml:space="preserve"> L’Agenzia delle entrate, nella circolare</w:t>
      </w:r>
      <w:r w:rsidR="007F25C1" w:rsidRPr="003F1A7C">
        <w:t xml:space="preserve"> n. 6/2019, con riferimento alla</w:t>
      </w:r>
      <w:r w:rsidRPr="003F1A7C">
        <w:t xml:space="preserve"> definizione prevista dal dl 119/2018, ha ritenuto definibili le controversie attribuite alla giurisdizione tributaria erroneamente instaurate innanzi al giudice ordinario (es. Giudice di pace) o a quello amministrativo (TAR). Di contro non risulterebbero</w:t>
      </w:r>
      <w:r w:rsidR="00C77434" w:rsidRPr="003F1A7C">
        <w:t xml:space="preserve"> definibili</w:t>
      </w:r>
      <w:r w:rsidRPr="003F1A7C">
        <w:t>, ad avviso dell’Agenzia, le liti diverse da quelle tributarie</w:t>
      </w:r>
      <w:r w:rsidR="00C77434" w:rsidRPr="003F1A7C">
        <w:t xml:space="preserve"> </w:t>
      </w:r>
      <w:r w:rsidRPr="003F1A7C">
        <w:t>erroneamente instaurate innanzi la corte di giustizia tributaria. Quest’ultima casistica si potrebbe porre con riferimento alle controversie relative al canone unico patrimoniale (CUP), per la componente relativa alla diffusione dei messaggi pubblicitari, che diverse corti di giustizia ritengono comun</w:t>
      </w:r>
      <w:r w:rsidR="00BF2F96" w:rsidRPr="003F1A7C">
        <w:t>qu</w:t>
      </w:r>
      <w:r w:rsidRPr="003F1A7C">
        <w:t>e rientranti nella giurisdizione tributaria</w:t>
      </w:r>
      <w:r w:rsidR="00C77434" w:rsidRPr="003F1A7C">
        <w:t xml:space="preserve"> (cfr., </w:t>
      </w:r>
      <w:r w:rsidRPr="003F1A7C">
        <w:t xml:space="preserve">da ultimo, </w:t>
      </w:r>
      <w:r w:rsidR="0008250C" w:rsidRPr="003F1A7C">
        <w:t>CGT di primo grado Milano, sentenza 27 gennaio 2023, n. 260</w:t>
      </w:r>
      <w:r w:rsidR="00C77434" w:rsidRPr="003F1A7C">
        <w:t>)</w:t>
      </w:r>
      <w:r w:rsidR="0008250C" w:rsidRPr="003F1A7C">
        <w:t>.</w:t>
      </w:r>
      <w:r w:rsidR="003F1A7C" w:rsidRPr="003F1A7C">
        <w:t xml:space="preserve"> Si sconta qui una persistente incertezza sulla natura giuridica del CUP e delle sue componenti.</w:t>
      </w:r>
    </w:p>
  </w:footnote>
  <w:footnote w:id="4">
    <w:p w14:paraId="50A6553E" w14:textId="77777777" w:rsidR="002651D8" w:rsidRDefault="008F5BDA">
      <w:pPr>
        <w:pStyle w:val="Testonotaapidipagina"/>
      </w:pPr>
      <w:r>
        <w:rPr>
          <w:rStyle w:val="Rimandonotaapidipagina"/>
        </w:rPr>
        <w:footnoteRef/>
      </w:r>
      <w:r>
        <w:t xml:space="preserve"> In quanto non vi sono importi da versare da parte del contribuente.</w:t>
      </w:r>
      <w:r w:rsidR="003736C1">
        <w:t xml:space="preserve"> Del pari, debbono ritenersi escluse dalla definizione agevolata le controvers</w:t>
      </w:r>
      <w:r w:rsidR="003E2139">
        <w:t>i</w:t>
      </w:r>
      <w:r w:rsidR="003736C1">
        <w:t>e relative alla spettanza di agevolazioni, come quelle relative al diniego di rateizzazione (Cass. ss.uu. n. 15647/2010), in quanto l’importo oggetto di rateizzazione è cristallizzato in un atto di accertamento divenuto definitivo per manca</w:t>
      </w:r>
      <w:r w:rsidR="003E2139">
        <w:t>ta</w:t>
      </w:r>
      <w:r w:rsidR="003736C1">
        <w:t xml:space="preserve"> impugnazione.</w:t>
      </w:r>
    </w:p>
  </w:footnote>
  <w:footnote w:id="5">
    <w:p w14:paraId="1820FFAC" w14:textId="77777777" w:rsidR="0058352D" w:rsidRDefault="0058352D" w:rsidP="00870086">
      <w:pPr>
        <w:pStyle w:val="Testonotaapidipagina"/>
      </w:pPr>
      <w:r>
        <w:rPr>
          <w:rStyle w:val="Rimandonotaapidipagina"/>
        </w:rPr>
        <w:footnoteRef/>
      </w:r>
      <w:r>
        <w:t xml:space="preserve"> L’art. 1, comma 188, legge 197/2022, ai fini della quantificazione degli importi dovuti con la definizione agevolata, fa espressamente riferimento alle pronunce, non cautelari, “</w:t>
      </w:r>
      <w:r w:rsidRPr="0058352D">
        <w:rPr>
          <w:b/>
          <w:bCs/>
        </w:rPr>
        <w:t>depositate</w:t>
      </w:r>
      <w:r>
        <w:t>” alla data del 1° gennaio 2023, sicché risulta del tutto irrilevante la data di emissione della pronuncia.</w:t>
      </w:r>
    </w:p>
  </w:footnote>
  <w:footnote w:id="6">
    <w:p w14:paraId="44FD1C49" w14:textId="77777777" w:rsidR="00390586" w:rsidRDefault="00390586">
      <w:pPr>
        <w:pStyle w:val="Testonotaapidipagina"/>
      </w:pPr>
      <w:r>
        <w:rPr>
          <w:rStyle w:val="Rimandonotaapidipagina"/>
        </w:rPr>
        <w:footnoteRef/>
      </w:r>
      <w:r>
        <w:t xml:space="preserve"> Rientrano nel perimetro della definizione anche i ricorsi notificati lo stesso 1° gennaio 2023. </w:t>
      </w:r>
    </w:p>
  </w:footnote>
  <w:footnote w:id="7">
    <w:p w14:paraId="3D32FC34" w14:textId="77777777" w:rsidR="00390586" w:rsidRDefault="00390586" w:rsidP="00390586">
      <w:pPr>
        <w:pStyle w:val="Testonotaapidipagina"/>
      </w:pPr>
      <w:r>
        <w:rPr>
          <w:rStyle w:val="Rimandonotaapidipagina"/>
        </w:rPr>
        <w:footnoteRef/>
      </w:r>
      <w:r>
        <w:t xml:space="preserve"> L’ipotesi si verifica di norma per i ricorsi soggetti a reclamo/mediazione, per i quali il deposito in corte di giustizia tributaria deve essere effettuato, a pena di inammissibilità, entro 30 giorni dallo scadere del termine di 90 giorni previsto per la fase del reclamo/mediazione, per quanto disposto dall’art. 17-bis, d.lgs. 546/1992. </w:t>
      </w:r>
    </w:p>
  </w:footnote>
  <w:footnote w:id="8">
    <w:p w14:paraId="68022F01" w14:textId="1C761330" w:rsidR="00D74963" w:rsidRDefault="00D74963" w:rsidP="00870086">
      <w:pPr>
        <w:pStyle w:val="Testonotaapidipagina"/>
      </w:pPr>
      <w:r>
        <w:rPr>
          <w:rStyle w:val="Rimandonotaapidipagina"/>
        </w:rPr>
        <w:footnoteRef/>
      </w:r>
      <w:r>
        <w:t xml:space="preserve"> </w:t>
      </w:r>
      <w:r w:rsidR="003C6D2A">
        <w:t xml:space="preserve">Pertanto, </w:t>
      </w:r>
      <w:r>
        <w:t>se al 1° gennaio 2023 l’ultima sentenza deposita</w:t>
      </w:r>
      <w:r w:rsidR="00195113">
        <w:t>ta</w:t>
      </w:r>
      <w:r>
        <w:t xml:space="preserve"> è favorevole al Comune ed a marzo viene depositata sentenza di appello favorevole al contribuente, la definizione opera con il pagamento del 100%</w:t>
      </w:r>
      <w:r w:rsidR="003C6D2A">
        <w:t>.</w:t>
      </w:r>
      <w:r>
        <w:t xml:space="preserve"> </w:t>
      </w:r>
    </w:p>
  </w:footnote>
  <w:footnote w:id="9">
    <w:p w14:paraId="36D22A95" w14:textId="77777777" w:rsidR="00390586" w:rsidRDefault="00390586">
      <w:pPr>
        <w:pStyle w:val="Testonotaapidipagina"/>
      </w:pPr>
      <w:r>
        <w:rPr>
          <w:rStyle w:val="Rimandonotaapidipagina"/>
        </w:rPr>
        <w:footnoteRef/>
      </w:r>
      <w:r>
        <w:t xml:space="preserve"> Rientrano in tale casistica anche i casi di controversie per le quali si è tenuta l’udienza di trattazione, ma non è stata ancora depositata la sentenza. Rientrano, altresì, in tale ipotesi anche i casi di ricorsi soggetti a reclamo depositati prima dello spirare del termine di 90 giorni previsto dall’art. 17-bis, d.lgs. 546/1992, sebbene tali ricorsi siano improcedibili, per quanto disposto dal comma 2, del citato art. 17-bis. Ne consegue, che rientrano in tale ipotesi anche i casi limite di ricorsi notificati il 1° gennaio 2023 e depositati in pari data, anche se soggetti a reclamo/mediazione.</w:t>
      </w:r>
    </w:p>
  </w:footnote>
  <w:footnote w:id="10">
    <w:p w14:paraId="37B85B37" w14:textId="726A1982" w:rsidR="00E01A2E" w:rsidRDefault="00C43107" w:rsidP="00C43107">
      <w:pPr>
        <w:pStyle w:val="Testonotaapidipagina"/>
      </w:pPr>
      <w:r>
        <w:rPr>
          <w:rStyle w:val="Rimandonotaapidipagina"/>
        </w:rPr>
        <w:footnoteRef/>
      </w:r>
      <w:r>
        <w:t xml:space="preserve"> Nel caso in cui la Corte di Cassazione abbia cassato la sentenza con rinvio alla corte di giustizia tributaria di secondo grado, il giudizio si considera come pendente in primo grado. Al riguardo si rammenta che l’art. 68, comma 1, lett. c-bis), d.lgs. 546/1992, prevede, ai fini della riscossione in pendenza di giudizio, che è possibile riscuotere “</w:t>
      </w:r>
      <w:r w:rsidRPr="00E01A2E">
        <w:rPr>
          <w:i/>
          <w:iCs/>
        </w:rPr>
        <w:t>per l'ammontare dovuto nella pendenza del giudizio di primo grado dopo la sentenza della Corte di cassazione di annullamento con rinvio</w:t>
      </w:r>
      <w:r>
        <w:t xml:space="preserve">”. Peraltro, si tratta di conclusione avvalorata da numerosi documenti di prassi dell’Agenzia delle entrate e da ultimo, proprio con riferimento </w:t>
      </w:r>
      <w:r w:rsidR="00E01A2E">
        <w:t>alla definizione</w:t>
      </w:r>
      <w:r>
        <w:t xml:space="preserve"> </w:t>
      </w:r>
      <w:r w:rsidR="00E01A2E">
        <w:t>delle liti</w:t>
      </w:r>
      <w:r>
        <w:t xml:space="preserve"> disciplinata dalla legge 197/2022, si veda circolare n. 2/2023</w:t>
      </w:r>
      <w:r w:rsidR="00E01A2E">
        <w:t xml:space="preserve">, Si vedano, inoltre, </w:t>
      </w:r>
      <w:r w:rsidR="000E5FA0">
        <w:t xml:space="preserve">la </w:t>
      </w:r>
      <w:r w:rsidR="00E01A2E">
        <w:t xml:space="preserve">circolare n. 12/1002, </w:t>
      </w:r>
      <w:r w:rsidR="000E5FA0">
        <w:t xml:space="preserve">la </w:t>
      </w:r>
      <w:r w:rsidR="00E01A2E">
        <w:t xml:space="preserve">risoluzione n. 4/2003, </w:t>
      </w:r>
      <w:r w:rsidR="000E5FA0">
        <w:t xml:space="preserve">la </w:t>
      </w:r>
      <w:r w:rsidR="00E01A2E">
        <w:t xml:space="preserve">circolare n. 48/2011, </w:t>
      </w:r>
      <w:r w:rsidR="000E5FA0">
        <w:t xml:space="preserve">nelle </w:t>
      </w:r>
      <w:r w:rsidR="00E01A2E">
        <w:t>quali si precisa che «</w:t>
      </w:r>
      <w:r w:rsidR="00E01A2E" w:rsidRPr="00E01A2E">
        <w:rPr>
          <w:i/>
          <w:iCs/>
        </w:rPr>
        <w:t>è principio fermo nella giurisprudenza di legittimità e nella riflessione della pressoché unanime dottrina processualistica che il giudizio di rinvio (…) costituisce una fase nuova ed autonoma, ulteriore e successivo momento del giudizio (…) diretto e funzionale ad una sentenza che non si sostituisce ad alcuna precedente pronuncia, riformandola, ma statuisce direttamente (‘per la prima volta’, così testualmente Cass. n. 5901 del 1994) sulle domande proposte dalle parti” (Cass. 17 novembre 2000, n. 14892; in senso conforme Cass., 06 dicembre 2000, n. 15489; Cass. 28 gennaio 2005, n. 1824;Cass. 28 marzo 2009, n. 7536; Cass. 28 marzo 2012, n. 5044; Cass. 3 luglio 2013, n.</w:t>
      </w:r>
      <w:r w:rsidR="00E01A2E">
        <w:rPr>
          <w:i/>
          <w:iCs/>
        </w:rPr>
        <w:t xml:space="preserve"> </w:t>
      </w:r>
      <w:r w:rsidR="00E01A2E" w:rsidRPr="00E01A2E">
        <w:rPr>
          <w:i/>
          <w:iCs/>
        </w:rPr>
        <w:t>16689; Cass. 9 giugno 2016 n. 11844)</w:t>
      </w:r>
      <w:r w:rsidR="00E01A2E">
        <w:t>».</w:t>
      </w:r>
    </w:p>
  </w:footnote>
  <w:footnote w:id="11">
    <w:p w14:paraId="36901297" w14:textId="454C337B" w:rsidR="007F5B5B" w:rsidRDefault="007F5B5B">
      <w:pPr>
        <w:pStyle w:val="Testonotaapidipagina"/>
      </w:pPr>
      <w:r>
        <w:rPr>
          <w:rStyle w:val="Rimandonotaapidipagina"/>
        </w:rPr>
        <w:footnoteRef/>
      </w:r>
      <w:r>
        <w:t xml:space="preserve"> </w:t>
      </w:r>
      <w:r w:rsidR="003C6D2A">
        <w:t>R</w:t>
      </w:r>
      <w:r>
        <w:t xml:space="preserve">isultano </w:t>
      </w:r>
      <w:r w:rsidR="003C6D2A">
        <w:t>qu</w:t>
      </w:r>
      <w:r w:rsidR="003F1A7C">
        <w:t>i</w:t>
      </w:r>
      <w:r w:rsidR="003C6D2A">
        <w:t xml:space="preserve">ndi </w:t>
      </w:r>
      <w:r>
        <w:t>irrilevanti gli esiti della sentenza di secondo grado depositata dopo il 1° gennaio</w:t>
      </w:r>
      <w:r w:rsidR="0035199A">
        <w:t xml:space="preserve"> 2023</w:t>
      </w:r>
      <w:r>
        <w:t>.</w:t>
      </w:r>
    </w:p>
  </w:footnote>
  <w:footnote w:id="12">
    <w:p w14:paraId="5025FAE1" w14:textId="77777777" w:rsidR="00E010ED" w:rsidRDefault="00E010ED">
      <w:pPr>
        <w:pStyle w:val="Testonotaapidipagina"/>
      </w:pPr>
      <w:r>
        <w:rPr>
          <w:rStyle w:val="Rimandonotaapidipagina"/>
        </w:rPr>
        <w:footnoteRef/>
      </w:r>
      <w:r>
        <w:t xml:space="preserve"> Questo implica che al 1° gennaio 2023 doveva essere stato già notificato il ricorso per </w:t>
      </w:r>
      <w:r w:rsidR="00D039FE">
        <w:t>cassazione</w:t>
      </w:r>
      <w:r>
        <w:t>.</w:t>
      </w:r>
    </w:p>
  </w:footnote>
  <w:footnote w:id="13">
    <w:p w14:paraId="5C166347" w14:textId="77777777" w:rsidR="00212E82" w:rsidRDefault="00212E82">
      <w:pPr>
        <w:pStyle w:val="Testonotaapidipagina"/>
      </w:pPr>
      <w:r w:rsidRPr="003A2050">
        <w:rPr>
          <w:rStyle w:val="Rimandonotaapidipagina"/>
        </w:rPr>
        <w:footnoteRef/>
      </w:r>
      <w:r w:rsidRPr="003A2050">
        <w:t xml:space="preserve"> </w:t>
      </w:r>
      <w:r w:rsidRPr="003F1A7C">
        <w:t>Non sono, pertanto, definibili con la percentuale del 5% le controversie nelle quali il Comune è risultato parzialmente soccombente.</w:t>
      </w:r>
    </w:p>
  </w:footnote>
  <w:footnote w:id="14">
    <w:p w14:paraId="61EB76F4" w14:textId="77777777" w:rsidR="00840F25" w:rsidRDefault="00A97767">
      <w:pPr>
        <w:pStyle w:val="Testonotaapidipagina"/>
      </w:pPr>
      <w:r>
        <w:rPr>
          <w:rStyle w:val="Rimandonotaapidipagina"/>
        </w:rPr>
        <w:footnoteRef/>
      </w:r>
      <w:r>
        <w:t xml:space="preserve"> Fermo restando che per le altre controversie pendenti innanzi la Corte di cassazione si applicano le percentuali del 40% o del 15% a secondo dell’esito della sentenza di appello, oppure della sentenza di primo grado, nella remota ipotesi di </w:t>
      </w:r>
      <w:r w:rsidR="00840F25">
        <w:t xml:space="preserve">ricorso per </w:t>
      </w:r>
      <w:r w:rsidR="00840F25" w:rsidRPr="00840F25">
        <w:rPr>
          <w:i/>
          <w:iCs/>
        </w:rPr>
        <w:t>saltum</w:t>
      </w:r>
      <w:r w:rsidR="00840F25">
        <w:t xml:space="preserve">, di cui all’art. </w:t>
      </w:r>
      <w:r w:rsidR="00840F25" w:rsidRPr="00840F25">
        <w:t>62, comma 2-bis, d</w:t>
      </w:r>
      <w:r w:rsidR="00840F25">
        <w:t>.lgs. 546/1992.</w:t>
      </w:r>
    </w:p>
  </w:footnote>
  <w:footnote w:id="15">
    <w:p w14:paraId="213F5884" w14:textId="77777777" w:rsidR="001B5B82" w:rsidRDefault="001B5B82">
      <w:pPr>
        <w:pStyle w:val="Testonotaapidipagina"/>
      </w:pPr>
      <w:r>
        <w:rPr>
          <w:rStyle w:val="Rimandonotaapidipagina"/>
        </w:rPr>
        <w:footnoteRef/>
      </w:r>
      <w:r>
        <w:t xml:space="preserve"> Sempre decisa con pronuncia depositata entro il 1° gennaio 2023.</w:t>
      </w:r>
    </w:p>
  </w:footnote>
  <w:footnote w:id="16">
    <w:p w14:paraId="16338CAF" w14:textId="77777777" w:rsidR="002E36C8" w:rsidRDefault="002E36C8">
      <w:pPr>
        <w:pStyle w:val="Testonotaapidipagina"/>
      </w:pPr>
      <w:r>
        <w:rPr>
          <w:rStyle w:val="Rimandonotaapidipagina"/>
        </w:rPr>
        <w:footnoteRef/>
      </w:r>
      <w:r>
        <w:t xml:space="preserve"> E</w:t>
      </w:r>
      <w:r w:rsidRPr="002E36C8">
        <w:t>ssendo il contribuente per questa parte risultato soccombent</w:t>
      </w:r>
      <w:r>
        <w:t>e.</w:t>
      </w:r>
    </w:p>
  </w:footnote>
  <w:footnote w:id="17">
    <w:p w14:paraId="52A8C90D" w14:textId="6A95315C" w:rsidR="00212E82" w:rsidRDefault="00212E82">
      <w:pPr>
        <w:pStyle w:val="Testonotaapidipagina"/>
      </w:pPr>
      <w:r>
        <w:rPr>
          <w:rStyle w:val="Rimandonotaapidipagina"/>
        </w:rPr>
        <w:footnoteRef/>
      </w:r>
      <w:r>
        <w:t xml:space="preserve"> </w:t>
      </w:r>
      <w:r w:rsidRPr="003F1A7C">
        <w:t>L’art. 1, comma 191, legge 197/2022, prevede che in caso di controversia relativa esclusivamente alle “</w:t>
      </w:r>
      <w:r w:rsidRPr="003F1A7C">
        <w:rPr>
          <w:i/>
          <w:iCs/>
        </w:rPr>
        <w:t>sanzioni collegate ai tributi</w:t>
      </w:r>
      <w:r w:rsidR="00155F09" w:rsidRPr="003F1A7C">
        <w:rPr>
          <w:i/>
          <w:iCs/>
        </w:rPr>
        <w:t xml:space="preserve"> </w:t>
      </w:r>
      <w:r w:rsidRPr="003F1A7C">
        <w:rPr>
          <w:i/>
          <w:iCs/>
        </w:rPr>
        <w:t>cui si riferiscono</w:t>
      </w:r>
      <w:r w:rsidR="00155F09" w:rsidRPr="00155F09">
        <w:t>”</w:t>
      </w:r>
      <w:r w:rsidRPr="003F1A7C">
        <w:t>, per la definizione non è dovuto alcun importo relativo alle sanzioni qualora il rapporto relativo ai tributi sia stato definito anche con modalità diverse dalla presente definizione agevolata. In tale ipotesi, la lite si definisce, quindi, con la sola presentazione della domanda, senza versare alcun importo.</w:t>
      </w:r>
    </w:p>
  </w:footnote>
  <w:footnote w:id="18">
    <w:p w14:paraId="3035C965" w14:textId="77777777" w:rsidR="00E010ED" w:rsidRDefault="00E010ED">
      <w:pPr>
        <w:pStyle w:val="Testonotaapidipagina"/>
      </w:pPr>
      <w:r>
        <w:rPr>
          <w:rStyle w:val="Rimandonotaapidipagina"/>
        </w:rPr>
        <w:footnoteRef/>
      </w:r>
      <w:r>
        <w:t xml:space="preserve"> Quindi, nei casi in cui al 1° gennaio 2023:</w:t>
      </w:r>
    </w:p>
    <w:p w14:paraId="1A7C0115" w14:textId="77777777" w:rsidR="00E010ED" w:rsidRDefault="00E010ED" w:rsidP="00E010ED">
      <w:pPr>
        <w:pStyle w:val="Testonotaapidipagina"/>
        <w:numPr>
          <w:ilvl w:val="0"/>
          <w:numId w:val="2"/>
        </w:numPr>
      </w:pPr>
      <w:r>
        <w:t>l’ultima pronuncia depositata v</w:t>
      </w:r>
      <w:r w:rsidR="00EB0E4F">
        <w:t>eda il contribuente soccombente;</w:t>
      </w:r>
    </w:p>
    <w:p w14:paraId="224250DB" w14:textId="77777777" w:rsidR="00E010ED" w:rsidRDefault="00E010ED" w:rsidP="00E010ED">
      <w:pPr>
        <w:pStyle w:val="Testonotaapidipagina"/>
        <w:numPr>
          <w:ilvl w:val="0"/>
          <w:numId w:val="2"/>
        </w:numPr>
      </w:pPr>
      <w:r>
        <w:t>il ricorso non sia stato ancora posto in discussione;</w:t>
      </w:r>
    </w:p>
    <w:p w14:paraId="6524AD4F" w14:textId="77777777" w:rsidR="00E010ED" w:rsidRDefault="00E010ED" w:rsidP="00E010ED">
      <w:pPr>
        <w:pStyle w:val="Testonotaapidipagina"/>
        <w:numPr>
          <w:ilvl w:val="0"/>
          <w:numId w:val="2"/>
        </w:numPr>
      </w:pPr>
      <w:r>
        <w:t xml:space="preserve">penda giudizio </w:t>
      </w:r>
      <w:r w:rsidR="00D039FE">
        <w:t>a seguito di pronuncia di Cassazione con rinvio.</w:t>
      </w:r>
    </w:p>
  </w:footnote>
  <w:footnote w:id="19">
    <w:p w14:paraId="4B19A20A" w14:textId="0E182AF3" w:rsidR="001F187C" w:rsidRDefault="001F187C">
      <w:pPr>
        <w:pStyle w:val="Testonotaapidipagina"/>
      </w:pPr>
      <w:r>
        <w:rPr>
          <w:rStyle w:val="Rimandonotaapidipagina"/>
        </w:rPr>
        <w:footnoteRef/>
      </w:r>
      <w:r>
        <w:t xml:space="preserve"> </w:t>
      </w:r>
      <w:r w:rsidRPr="001F187C">
        <w:t>Si precisa che l’importo della lite non corrisponde sempre all’ammontare dell’imposta</w:t>
      </w:r>
      <w:r w:rsidR="003C6D2A">
        <w:t xml:space="preserve"> </w:t>
      </w:r>
      <w:r w:rsidR="003C6D2A" w:rsidRPr="001F187C">
        <w:t>pretesa con l’accertamento tributario</w:t>
      </w:r>
      <w:r w:rsidRPr="001F187C">
        <w:t>, o delle sanzioni nel caso di impugnazione dell’atto di irrogazione delle sanzioni, in quanto occorre tener conto dell’importo effettivo in contestazione, nel caso di impugnazioni parziali, o di rideterminazione parziale della pretesa nel</w:t>
      </w:r>
      <w:r w:rsidR="002E36C8">
        <w:t xml:space="preserve">l’ipotesi </w:t>
      </w:r>
      <w:r w:rsidRPr="001F187C">
        <w:t>di rettifica dell’atto di accertamento. Inoltre, il valore della</w:t>
      </w:r>
      <w:r w:rsidR="002E36C8">
        <w:t xml:space="preserve"> controversia</w:t>
      </w:r>
      <w:r w:rsidRPr="001F187C">
        <w:t xml:space="preserve"> deve essere calcolato con riferimento alla lite pendente, e quindi non occorre considerare gli importi coperti da giudicato interno, od oggetto di accordo di mediazione o di conciliazione giudiziale</w:t>
      </w:r>
      <w:r w:rsidR="002E36C8">
        <w:t>,</w:t>
      </w:r>
      <w:r w:rsidRPr="001F187C">
        <w:t xml:space="preserve"> che non hanno riguardato l’intera pretesa avanzata dall’Ente.</w:t>
      </w:r>
    </w:p>
  </w:footnote>
  <w:footnote w:id="20">
    <w:p w14:paraId="316A3A84" w14:textId="77777777" w:rsidR="00CB2EBF" w:rsidRDefault="00CB2EBF">
      <w:pPr>
        <w:pStyle w:val="Testonotaapidipagina"/>
      </w:pPr>
      <w:r>
        <w:rPr>
          <w:rStyle w:val="Rimandonotaapidipagina"/>
        </w:rPr>
        <w:footnoteRef/>
      </w:r>
      <w:r>
        <w:t xml:space="preserve"> Si ritiene che il Comune non possa regolamentare scadenze delle rate diverse da quelle previste dall’art. 1, comma 194, legge 197/2022, in quanto verrebbe a mancare il necessario coordinamento con le norme sulla sospensione dei termini di impugnazione</w:t>
      </w:r>
      <w:r w:rsidR="00195113">
        <w:t>,</w:t>
      </w:r>
      <w:r>
        <w:t xml:space="preserve"> e soprattutt</w:t>
      </w:r>
      <w:r w:rsidR="00C21E03">
        <w:t>o con quanto previsto, in tema di sospensione dei processi e di dichiarazione di estinzione del processo, dai commi 197 e 198</w:t>
      </w:r>
      <w:r w:rsidR="0084527A">
        <w:t>. Peraltro, tra il 31 marzo (data ultima di approvazione del regolamento) ed il 30 giugno (data di presentazione della domanda e di pagamento delle somme dovute o della prima rata), maturano un numero di giorni sufficienti al rispetto della prescrizione di cui all’art. 3, comma 2, legge 212/2000, a mente del quale “</w:t>
      </w:r>
      <w:r w:rsidR="0084527A" w:rsidRPr="0084527A">
        <w:rPr>
          <w:i/>
        </w:rPr>
        <w:t>in ogni caso, le disposizioni tributarie non possono prevedere adempimenti a carico dei contribuenti la cui scadenza sia fissata anteriormente al sessantesimo giorno dalla data della loro entrata in vigore o dell'adozione dei provvedimenti di attuazione in esse espressamente previs</w:t>
      </w:r>
      <w:r w:rsidR="0084527A">
        <w:rPr>
          <w:i/>
        </w:rPr>
        <w:t>ti</w:t>
      </w:r>
      <w:r w:rsidR="0084527A">
        <w:t>”.</w:t>
      </w:r>
    </w:p>
  </w:footnote>
  <w:footnote w:id="21">
    <w:p w14:paraId="5353AE79" w14:textId="77777777" w:rsidR="007F2707" w:rsidRDefault="007F2707">
      <w:pPr>
        <w:pStyle w:val="Testonotaapidipagina"/>
      </w:pPr>
      <w:r>
        <w:rPr>
          <w:rStyle w:val="Rimandonotaapidipagina"/>
        </w:rPr>
        <w:footnoteRef/>
      </w:r>
      <w:r>
        <w:t xml:space="preserve"> Che a sua volta rinvia </w:t>
      </w:r>
      <w:r w:rsidR="00ED1C1C">
        <w:t xml:space="preserve">all’art. 15-ter, d.P.R. 602/1973. Si ricorda, peraltro, che il comma 2 del citato art. 15-ter, prevede che </w:t>
      </w:r>
      <w:r w:rsidR="00ED1C1C" w:rsidRPr="00ED1C1C">
        <w:t>il mancato pagamento di una delle rate diverse dalla prima entro il termine di pagamento della rata successiva comporta la decadenza dal beneficio della rateazione e l'iscrizione a ruolo dei residui importi dovuti a titolo di imposta, interessi e sanzioni, nonché della sanzione di cui all'art</w:t>
      </w:r>
      <w:r w:rsidR="00ED1C1C">
        <w:t xml:space="preserve">. 13, d.lgs. 471/1997, </w:t>
      </w:r>
      <w:r w:rsidR="00ED1C1C" w:rsidRPr="00ED1C1C">
        <w:t>aumentata della metà</w:t>
      </w:r>
      <w:r w:rsidR="00ED1C1C">
        <w:t xml:space="preserve"> (e quindi pari al 45%)</w:t>
      </w:r>
      <w:r w:rsidR="00ED1C1C" w:rsidRPr="00ED1C1C">
        <w:t xml:space="preserve"> e applicata sul residuo importo dovuto a titolo di imposta.</w:t>
      </w:r>
    </w:p>
  </w:footnote>
  <w:footnote w:id="22">
    <w:p w14:paraId="4C592D9A" w14:textId="77777777" w:rsidR="00145F8E" w:rsidRDefault="00145F8E">
      <w:pPr>
        <w:pStyle w:val="Testonotaapidipagina"/>
      </w:pPr>
      <w:r>
        <w:rPr>
          <w:rStyle w:val="Rimandonotaapidipagina"/>
        </w:rPr>
        <w:footnoteRef/>
      </w:r>
      <w:r>
        <w:t xml:space="preserve"> Ipotesi che si verifica nel caso di attivazione della riscossione in pendenza di giudizio, con pagamento di importi superiori a quelli dovuti in base all’articolo 4 del presente regolamento.</w:t>
      </w:r>
    </w:p>
  </w:footnote>
  <w:footnote w:id="23">
    <w:p w14:paraId="14373807" w14:textId="350362DB" w:rsidR="007D3634" w:rsidRDefault="007D3634">
      <w:pPr>
        <w:pStyle w:val="Testonotaapidipagina"/>
      </w:pPr>
      <w:r>
        <w:rPr>
          <w:rStyle w:val="Rimandonotaapidipagina"/>
        </w:rPr>
        <w:footnoteRef/>
      </w:r>
      <w:r>
        <w:t xml:space="preserve"> Il 31 luglio 2024 va considerato come termine ultimo, sicché il Comune può ben notificare prima</w:t>
      </w:r>
      <w:r w:rsidR="00F759A1">
        <w:t xml:space="preserve"> di tale data</w:t>
      </w:r>
      <w:r>
        <w:t xml:space="preserve"> il diniego alla definizione agevolata. </w:t>
      </w:r>
      <w:r w:rsidR="00710C4C">
        <w:t>La data del 31 luglio 2024 è prevista dall’art. 1, comma 200, legge 197/2022</w:t>
      </w:r>
    </w:p>
  </w:footnote>
  <w:footnote w:id="24">
    <w:p w14:paraId="247FED95" w14:textId="065BD619" w:rsidR="007D3634" w:rsidRDefault="007D3634" w:rsidP="003F1A7C">
      <w:pPr>
        <w:jc w:val="both"/>
      </w:pPr>
      <w:r>
        <w:rPr>
          <w:rStyle w:val="Rimandonotaapidipagina"/>
        </w:rPr>
        <w:footnoteRef/>
      </w:r>
      <w:r>
        <w:t xml:space="preserve"> </w:t>
      </w:r>
      <w:r w:rsidRPr="00C16DB3">
        <w:rPr>
          <w:rFonts w:ascii="Bookman Old Style" w:hAnsi="Bookman Old Style"/>
          <w:sz w:val="18"/>
          <w:szCs w:val="20"/>
        </w:rPr>
        <w:t>La possibilità di sospendere le controversie relative ai tributi comunali, in quanto “potenzialmente definibili”</w:t>
      </w:r>
      <w:r w:rsidR="00195113" w:rsidRPr="00C16DB3">
        <w:rPr>
          <w:rFonts w:ascii="Bookman Old Style" w:hAnsi="Bookman Old Style"/>
          <w:sz w:val="18"/>
          <w:szCs w:val="20"/>
        </w:rPr>
        <w:t>,</w:t>
      </w:r>
      <w:r w:rsidRPr="00C16DB3">
        <w:rPr>
          <w:rFonts w:ascii="Bookman Old Style" w:hAnsi="Bookman Old Style"/>
          <w:sz w:val="18"/>
          <w:szCs w:val="20"/>
        </w:rPr>
        <w:t xml:space="preserve"> è stata accertata dalla Corte di cassazione con diverse ordinanze. Tra le tante, Cassazione, 30 gennaio 2023, n. 2687.</w:t>
      </w:r>
      <w:r w:rsidR="002757DC">
        <w:t xml:space="preserve"> </w:t>
      </w:r>
    </w:p>
  </w:footnote>
  <w:footnote w:id="25">
    <w:p w14:paraId="1B709C85" w14:textId="77777777" w:rsidR="009E34AB" w:rsidRDefault="009E34AB">
      <w:pPr>
        <w:pStyle w:val="Testonotaapidipagina"/>
      </w:pPr>
      <w:r>
        <w:rPr>
          <w:rStyle w:val="Rimandonotaapidipagina"/>
        </w:rPr>
        <w:footnoteRef/>
      </w:r>
      <w:r>
        <w:t xml:space="preserve"> Si osserva che la normativa dispone la sola sospensione dei termini di impugnazione, ma non gli altri termini processuali, pur previsti a pena di inammissibilità, come il deposito del ricorso o dell’appello</w:t>
      </w:r>
      <w:r w:rsidR="00461769">
        <w:t>, notificato entro il 1° gennaio 2023,</w:t>
      </w:r>
      <w:r>
        <w:t xml:space="preserve"> presso le competenti corti di giustizia tributaria.</w:t>
      </w:r>
      <w:r w:rsidR="003C655B">
        <w:t xml:space="preserve"> La sospensione, inoltre, non è subordinata all’effettiva adesione, ma opera in modo generalizzato per tutte le controversie definibili.</w:t>
      </w:r>
    </w:p>
  </w:footnote>
  <w:footnote w:id="26">
    <w:p w14:paraId="4A316372" w14:textId="18764C25" w:rsidR="003227A4" w:rsidRDefault="003227A4">
      <w:pPr>
        <w:pStyle w:val="Testonotaapidipagina"/>
      </w:pPr>
      <w:r>
        <w:rPr>
          <w:rStyle w:val="Rimandonotaapidipagina"/>
        </w:rPr>
        <w:footnoteRef/>
      </w:r>
      <w:r>
        <w:t xml:space="preserve"> La scelta regolamentare è di mera prudenza, in quanto l’art. 1, comma 199, legge 197/2022, dispone la sospensione dei termini di impugnazione per le “controversie definibili”, mentre quelle comunali sono “potenzialmente definibili” fintanto che non venga approvato il regolamento comunale. Solo da questa data possono considerarsi definibili. Il problema si pone</w:t>
      </w:r>
      <w:r w:rsidR="00037787">
        <w:t>, sia per il Comune che per il contribuente,</w:t>
      </w:r>
      <w:r>
        <w:t xml:space="preserve"> per i termini di impugnazione</w:t>
      </w:r>
      <w:r w:rsidR="00037787">
        <w:t xml:space="preserve"> </w:t>
      </w:r>
      <w:r>
        <w:t>che scadono nel periodo che va dal 2 gennaio 2023 alla data di esecutività del regolamento. Peraltro, il problema si pone anche con riferimento all’ipotesi in cui il Comune decida di non approvare il regolamento sulla definizione, perché anche in questo caso sorge il dubbio sull’applicabilità o meno del periodo di sospensione dei termini di impugnazione. IFEL ha già evidenziato la problematica nella</w:t>
      </w:r>
      <w:r w:rsidR="00D10BDA">
        <w:t xml:space="preserve"> nota</w:t>
      </w:r>
      <w:r>
        <w:t xml:space="preserve"> </w:t>
      </w:r>
      <w:r w:rsidR="00D10BDA">
        <w:t xml:space="preserve">del 7 gennaio </w:t>
      </w:r>
      <w:r w:rsidR="003F1A7C">
        <w:t>2023</w:t>
      </w:r>
      <w:r w:rsidR="00D10BDA">
        <w:t>,</w:t>
      </w:r>
      <w:r w:rsidR="003F1A7C" w:rsidDel="003F1A7C">
        <w:rPr>
          <w:i/>
          <w:iCs/>
        </w:rPr>
        <w:t xml:space="preserve"> </w:t>
      </w:r>
      <w:r w:rsidR="00D10BDA">
        <w:t xml:space="preserve">auspicando un chiarimento normativo o di prassi, </w:t>
      </w:r>
      <w:r w:rsidR="00037787">
        <w:t xml:space="preserve">che </w:t>
      </w:r>
      <w:r w:rsidR="00D10BDA">
        <w:t xml:space="preserve">tuttavia non </w:t>
      </w:r>
      <w:r w:rsidR="00037787">
        <w:t xml:space="preserve">è </w:t>
      </w:r>
      <w:r w:rsidR="00D10BDA">
        <w:t>intervenuto.</w:t>
      </w:r>
    </w:p>
  </w:footnote>
  <w:footnote w:id="27">
    <w:p w14:paraId="63C0F10A" w14:textId="01073EE3" w:rsidR="00C12D3F" w:rsidRDefault="00C12D3F">
      <w:pPr>
        <w:pStyle w:val="Testonotaapidipagina"/>
      </w:pPr>
      <w:r>
        <w:rPr>
          <w:rStyle w:val="Rimandonotaapidipagina"/>
        </w:rPr>
        <w:footnoteRef/>
      </w:r>
      <w:r>
        <w:t xml:space="preserve"> La valutazione circa la “convenienza” della conciliazione agevolata è </w:t>
      </w:r>
      <w:r w:rsidR="00200CD2">
        <w:t xml:space="preserve">di norma a </w:t>
      </w:r>
      <w:r>
        <w:t>carico al contribuente, il quale potrebbe corrispondere complessivamente un importo inferiore rispetto a quell</w:t>
      </w:r>
      <w:r w:rsidR="00195113">
        <w:t>o</w:t>
      </w:r>
      <w:r>
        <w:t xml:space="preserve"> della definizione agevolata, perché l’accordo conciliativo permette di intervenire anche sull’ammontare dell’imposta dovuta. </w:t>
      </w:r>
      <w:r w:rsidR="004E1595">
        <w:t xml:space="preserve">Per i </w:t>
      </w:r>
      <w:r>
        <w:t>tributi comunali</w:t>
      </w:r>
      <w:r w:rsidR="004E1595">
        <w:t xml:space="preserve"> l’ipotesi più ricorrente </w:t>
      </w:r>
      <w:r>
        <w:t>è quell</w:t>
      </w:r>
      <w:r w:rsidR="004E1595">
        <w:t>a</w:t>
      </w:r>
      <w:r>
        <w:t xml:space="preserve"> relativ</w:t>
      </w:r>
      <w:r w:rsidR="00195113">
        <w:t>a</w:t>
      </w:r>
      <w:r>
        <w:t xml:space="preserve"> alle controversie sul valore venale delle aree fabbricabili. Ovviamente, occorre acquisire l’accordo del Comune, </w:t>
      </w:r>
      <w:r w:rsidR="004E1595">
        <w:t xml:space="preserve">al quale spetterà una valutazione </w:t>
      </w:r>
      <w:r>
        <w:t>attenta</w:t>
      </w:r>
      <w:r w:rsidR="004E1595">
        <w:t xml:space="preserve"> della </w:t>
      </w:r>
      <w:r>
        <w:t>proposta conciliativa</w:t>
      </w:r>
      <w:r w:rsidR="004E1595">
        <w:t xml:space="preserve"> f</w:t>
      </w:r>
      <w:r>
        <w:t>ormulata dalla controparte.</w:t>
      </w:r>
      <w:r w:rsidR="005969A2">
        <w:t xml:space="preserve"> Nulla impedisce, comunque</w:t>
      </w:r>
      <w:r w:rsidR="00EA4B72" w:rsidRPr="003F1A7C">
        <w:t>,</w:t>
      </w:r>
      <w:r w:rsidR="005969A2">
        <w:t xml:space="preserve"> che sia il Comune stesso a formulare una proposta conciliativa alla controparte, anche considerando che l’art. 1, comma 206, legge 197/2022 non individua </w:t>
      </w:r>
      <w:r w:rsidR="00E15DB4" w:rsidRPr="003F1A7C">
        <w:rPr>
          <w:i/>
          <w:iCs/>
        </w:rPr>
        <w:t>a priori</w:t>
      </w:r>
      <w:r w:rsidR="00E15DB4">
        <w:t xml:space="preserve"> </w:t>
      </w:r>
      <w:r w:rsidR="005969A2">
        <w:t>la parte proponente l’accordo, in coerenza con l’istituto disciplinato dal d.lgs. 546/1992.</w:t>
      </w:r>
    </w:p>
  </w:footnote>
  <w:footnote w:id="28">
    <w:p w14:paraId="7BEC0AA9" w14:textId="3749BB94" w:rsidR="00941593" w:rsidRDefault="00941593">
      <w:pPr>
        <w:pStyle w:val="Testonotaapidipagina"/>
      </w:pPr>
      <w:r>
        <w:rPr>
          <w:rStyle w:val="Rimandonotaapidipagina"/>
        </w:rPr>
        <w:footnoteRef/>
      </w:r>
      <w:r>
        <w:t xml:space="preserve"> La norma, a differenza della definizione delle liti pendenti, ove si fa riferimento a tutte le controversie attribuite alla giurisdizione tributaria, contempla solo gli atti impositivi, escludendo quindi le controversie relative alle cartelle di pagamento o alle ingiunzioni di pagamento, le quali avendo come presupposto un </w:t>
      </w:r>
      <w:r w:rsidR="003B6C8D">
        <w:t xml:space="preserve">atto di accertamento definitivo, difficilmente possono essere oggetto di accordo conciliativo, </w:t>
      </w:r>
      <w:r w:rsidR="00E15DB4">
        <w:t xml:space="preserve">che </w:t>
      </w:r>
      <w:r w:rsidR="003B6C8D">
        <w:t>presuppone pur sempre della materia concordabile, oltre a</w:t>
      </w:r>
      <w:r w:rsidR="00897FC4">
        <w:t xml:space="preserve">lla considerazione </w:t>
      </w:r>
      <w:r w:rsidR="003B6C8D">
        <w:t>che tali atti non sono soggetti ad ulteriori sanzioni, salvo l’ipotesi di applicazione della sanzione di cui all’art. 15-ter, d.P.R. 602/1973.</w:t>
      </w:r>
    </w:p>
  </w:footnote>
  <w:footnote w:id="29">
    <w:p w14:paraId="2961E32B" w14:textId="77777777" w:rsidR="001E401E" w:rsidRDefault="001E401E">
      <w:pPr>
        <w:pStyle w:val="Testonotaapidipagina"/>
      </w:pPr>
      <w:r w:rsidRPr="00155F09">
        <w:rPr>
          <w:rStyle w:val="Rimandonotaapidipagina"/>
        </w:rPr>
        <w:footnoteRef/>
      </w:r>
      <w:r w:rsidRPr="00155F09">
        <w:t xml:space="preserve"> </w:t>
      </w:r>
      <w:r w:rsidRPr="003F1A7C">
        <w:t>Il riferimento alla conciliazione fuori udienza ordinariamente disciplinata dall’art. 48, d.lgs. 546/1992, permette anche una conciliazione giudiziale parziale</w:t>
      </w:r>
      <w:r w:rsidR="00B14136" w:rsidRPr="003F1A7C">
        <w:t xml:space="preserve"> della controversia</w:t>
      </w:r>
      <w:r w:rsidRPr="003F1A7C">
        <w:t>.</w:t>
      </w:r>
      <w:r w:rsidR="00B14136" w:rsidRPr="00155F09">
        <w:t xml:space="preserve"> </w:t>
      </w:r>
      <w:r w:rsidR="00B14136" w:rsidRPr="003F1A7C">
        <w:t>In tale senso, si veda anche Agenzia delle entrate, circolare n. 2/2023.</w:t>
      </w:r>
    </w:p>
  </w:footnote>
  <w:footnote w:id="30">
    <w:p w14:paraId="2B54A025" w14:textId="77777777" w:rsidR="00C12D3F" w:rsidRDefault="00C12D3F">
      <w:pPr>
        <w:pStyle w:val="Testonotaapidipagina"/>
      </w:pPr>
      <w:r>
        <w:rPr>
          <w:rStyle w:val="Rimandonotaapidipagina"/>
        </w:rPr>
        <w:footnoteRef/>
      </w:r>
      <w:r>
        <w:t xml:space="preserve"> L’art. 1, comma 207, legge 197/2022, deroga alla riduzione delle sanzioni ordinariamente previste dall’art. 48-ter, d.lgs. 546/1992, a mente del quale le sanzioni </w:t>
      </w:r>
      <w:r w:rsidRPr="00C12D3F">
        <w:t>si applicano nella misura del quaranta per cento del minimo previsto dalla legge, in caso di perfezionamento della conciliazione nel corso del primo grado di giudizio e nella misura del cinquanta per cento del minimo previsto dalla legge, in caso di perfezionamento nel corso del secondo grado di giudizio.</w:t>
      </w:r>
    </w:p>
  </w:footnote>
  <w:footnote w:id="31">
    <w:p w14:paraId="689075C5" w14:textId="7BB36492" w:rsidR="00734CC3" w:rsidRPr="00980667" w:rsidRDefault="00734CC3">
      <w:pPr>
        <w:pStyle w:val="Testonotaapidipagina"/>
        <w:rPr>
          <w:b/>
          <w:bCs/>
        </w:rPr>
      </w:pPr>
      <w:r>
        <w:rPr>
          <w:rStyle w:val="Rimandonotaapidipagina"/>
        </w:rPr>
        <w:footnoteRef/>
      </w:r>
      <w:r>
        <w:t xml:space="preserve"> Il comma ripropone il testo dell’art. 1, comma 208, legge 197/2022, in quanto non diversamente regolamentabile dal Comune</w:t>
      </w:r>
      <w:r w:rsidR="003F1A7C">
        <w:t xml:space="preserve">. </w:t>
      </w:r>
      <w:r w:rsidR="00980667">
        <w:t>Si ritiene infatti che l’astratta regolamentabilità locale delle rateizzazioni non possa condurre a variazioni delle modalità di adesione alla definizione agevolata, di cui lo schema di rateazione legificato costituisce parte integrante, in deroga all’ordinario svolgimento del rapporto tributario.</w:t>
      </w:r>
    </w:p>
  </w:footnote>
  <w:footnote w:id="32">
    <w:p w14:paraId="0902E79A" w14:textId="77777777" w:rsidR="009159DD" w:rsidRDefault="009159DD">
      <w:pPr>
        <w:pStyle w:val="Testonotaapidipagina"/>
      </w:pPr>
      <w:r>
        <w:rPr>
          <w:rStyle w:val="Rimandonotaapidipagina"/>
        </w:rPr>
        <w:footnoteRef/>
      </w:r>
      <w:r>
        <w:t xml:space="preserve"> L’art. 1, comma 209, legge 197/2022 considera la sola ipotesi di iscrizione a ruolo, </w:t>
      </w:r>
      <w:r w:rsidR="00D97ADE">
        <w:t>facendo la disposizione normativa espressamente riferimento all’</w:t>
      </w:r>
      <w:r>
        <w:t>Agenzia delle entrate</w:t>
      </w:r>
      <w:r w:rsidR="00D97ADE">
        <w:t xml:space="preserve"> come parte processuale</w:t>
      </w:r>
      <w:r>
        <w:t>. Nel regolamento si fa genericamente riferimento alla riscossione coattiva, che può essere effettuata tramite iscrizione a ruolo o ingiunzione fiscale</w:t>
      </w:r>
      <w:r w:rsidR="0056688B">
        <w:t>.</w:t>
      </w:r>
      <w:r w:rsidR="00F2694C">
        <w:t xml:space="preserve"> </w:t>
      </w:r>
      <w:r>
        <w:t xml:space="preserve"> </w:t>
      </w:r>
    </w:p>
  </w:footnote>
  <w:footnote w:id="33">
    <w:p w14:paraId="4F7BBB0A" w14:textId="77777777" w:rsidR="00FC6EAF" w:rsidRDefault="00A218AA">
      <w:pPr>
        <w:pStyle w:val="Testonotaapidipagina"/>
      </w:pPr>
      <w:r>
        <w:rPr>
          <w:rStyle w:val="Rimandonotaapidipagina"/>
        </w:rPr>
        <w:footnoteRef/>
      </w:r>
      <w:r>
        <w:t xml:space="preserve"> Si ritiene utile rammentare che la conciliazio</w:t>
      </w:r>
      <w:r w:rsidR="00FC6EAF">
        <w:t xml:space="preserve">ne giudiziale fuori udienza si perfeziona con la sottoscrizione dell’accordo conciliativo, </w:t>
      </w:r>
      <w:r w:rsidR="00811BEC">
        <w:t xml:space="preserve">con il quale </w:t>
      </w:r>
      <w:r w:rsidR="00FC6EAF">
        <w:t xml:space="preserve">sono indicate le somme </w:t>
      </w:r>
      <w:r w:rsidR="00B16D23">
        <w:t>dovute e</w:t>
      </w:r>
      <w:r w:rsidR="00FC6EAF">
        <w:t xml:space="preserve"> le modalità di pagamento. L’accordo </w:t>
      </w:r>
      <w:r w:rsidR="00FC6EAF" w:rsidRPr="00FC6EAF">
        <w:t>costituisce titolo per la riscossione delle somme dovute all'ente impositore</w:t>
      </w:r>
      <w:r w:rsidR="00FC6EAF">
        <w:t xml:space="preserve">. Nel caso di conciliazione in udienza, la </w:t>
      </w:r>
      <w:r w:rsidR="00FC6EAF" w:rsidRPr="00FC6EAF">
        <w:t>conciliazione si perfeziona con la redazione del processo verbale nel quale sono indicate le somme dovute con i termini e le modalità di pagamento. Il processo verbale costituisce titolo per la riscossione delle somme dovute all'ente impositore</w:t>
      </w:r>
      <w:r w:rsidR="00FC6EAF">
        <w:t xml:space="preserve">. A seguito dell’accordo, in udienza o fuori udienza, la corte di giustizia </w:t>
      </w:r>
      <w:r w:rsidR="00FC6EAF" w:rsidRPr="00FC6EAF">
        <w:t>dichiara</w:t>
      </w:r>
      <w:r w:rsidR="00FC6EAF">
        <w:t xml:space="preserve"> </w:t>
      </w:r>
      <w:r w:rsidR="00FC6EAF" w:rsidRPr="00FC6EAF">
        <w:t>l'estinzione del giudizio per cessazione della materia del contendere</w:t>
      </w:r>
      <w:r w:rsidR="00FC6EAF">
        <w:t>.</w:t>
      </w:r>
    </w:p>
    <w:p w14:paraId="58C33C08" w14:textId="77777777" w:rsidR="00E16C97" w:rsidRDefault="00FC6EAF" w:rsidP="00E16C97">
      <w:pPr>
        <w:pStyle w:val="Testonotaapidipagina"/>
      </w:pPr>
      <w:r>
        <w:t xml:space="preserve">Può accadere, tuttavia, che nonostante l’intervenuto accordo, il contribuente non paghi </w:t>
      </w:r>
      <w:r w:rsidR="00A52E5F">
        <w:t xml:space="preserve">l’importo dovuto o </w:t>
      </w:r>
      <w:r>
        <w:t xml:space="preserve">la prima rata entro i venti giorni </w:t>
      </w:r>
      <w:r w:rsidRPr="00FC6EAF">
        <w:t>dalla data di sottoscrizione dell'accordo conciliativo</w:t>
      </w:r>
      <w:r>
        <w:t xml:space="preserve"> </w:t>
      </w:r>
      <w:r w:rsidRPr="00FC6EAF">
        <w:t>o di</w:t>
      </w:r>
      <w:r>
        <w:t xml:space="preserve"> redazione del processo verbale. Anche in tale ipotesi, tuttavia, l’accordo conciliativo sostituisce l’accertamento, se non è impugnata la pronuncia di estinzione del giudizio, che costituisce</w:t>
      </w:r>
      <w:r w:rsidR="00E81219">
        <w:t>,</w:t>
      </w:r>
      <w:r>
        <w:t xml:space="preserve"> </w:t>
      </w:r>
      <w:r w:rsidR="00E81219">
        <w:t xml:space="preserve">quindi, </w:t>
      </w:r>
      <w:r>
        <w:t>giudicato sulla pretesa tributaria (Cass. 18445/2021).</w:t>
      </w:r>
    </w:p>
    <w:p w14:paraId="54E2F119" w14:textId="77777777" w:rsidR="00E16C97" w:rsidRDefault="00E16C97" w:rsidP="00E16C97">
      <w:pPr>
        <w:pStyle w:val="Testonotaapidipagina"/>
      </w:pPr>
      <w:r w:rsidRPr="00980667">
        <w:t>A differenza delle conciliazioni “ordinarie”, che si possono perfezionare anche senza il pagamento di quanto concordato, la conciliazione agevolata si perfeziona con il pagato dell’intero importo dovuto, sicché in caso di omesso o parziale versamento si decade dal beneficio della riduzione ad un diciottesimo delle sanzioni, risultando così applicabili la ordinaria riduzione del 40% o del 50% delle sanzioni minime previste dalla legge, a seconda che la conciliazione avvenga in primo o secondo grado.</w:t>
      </w:r>
      <w:r>
        <w:t xml:space="preserve"> </w:t>
      </w:r>
    </w:p>
  </w:footnote>
  <w:footnote w:id="34">
    <w:p w14:paraId="21481F08" w14:textId="77777777" w:rsidR="009351B5" w:rsidRDefault="009351B5">
      <w:pPr>
        <w:pStyle w:val="Testonotaapidipagina"/>
      </w:pPr>
      <w:r>
        <w:rPr>
          <w:rStyle w:val="Rimandonotaapidipagina"/>
        </w:rPr>
        <w:footnoteRef/>
      </w:r>
      <w:r>
        <w:t xml:space="preserve"> L’articolo del </w:t>
      </w:r>
      <w:r w:rsidR="001C01E5">
        <w:t>regolamento</w:t>
      </w:r>
      <w:r>
        <w:t xml:space="preserve"> riproduce l’art. 1, commi da 213 a 216, della legge 197/2022.</w:t>
      </w:r>
    </w:p>
  </w:footnote>
  <w:footnote w:id="35">
    <w:p w14:paraId="66DB2C4D" w14:textId="77777777" w:rsidR="000C5B79" w:rsidRDefault="000C5B79" w:rsidP="000C5B79">
      <w:pPr>
        <w:pStyle w:val="Testonotaapidipagina"/>
      </w:pPr>
      <w:r>
        <w:rPr>
          <w:rStyle w:val="Rimandonotaapidipagina"/>
        </w:rPr>
        <w:footnoteRef/>
      </w:r>
      <w:r>
        <w:t xml:space="preserve"> Di cui all’art. 1, comma 792, legge 160/2019.</w:t>
      </w:r>
    </w:p>
  </w:footnote>
  <w:footnote w:id="36">
    <w:p w14:paraId="013F813C" w14:textId="77777777" w:rsidR="001D1585" w:rsidRDefault="001D1585">
      <w:pPr>
        <w:pStyle w:val="Testonotaapidipagina"/>
      </w:pPr>
      <w:r>
        <w:rPr>
          <w:rStyle w:val="Rimandonotaapidipagina"/>
        </w:rPr>
        <w:footnoteRef/>
      </w:r>
      <w:r>
        <w:t xml:space="preserve"> Come già evidenziato, </w:t>
      </w:r>
      <w:r w:rsidR="00195113">
        <w:t xml:space="preserve">la </w:t>
      </w:r>
      <w:r>
        <w:t>conciliazione giudiziale può essersi perfezionata anche senza alcun pagamento, in caso di pronuncia di dichiarazione dell’estinzione del giudizio passata in giudicato.</w:t>
      </w:r>
    </w:p>
  </w:footnote>
  <w:footnote w:id="37">
    <w:p w14:paraId="7C4D868D" w14:textId="77777777" w:rsidR="00BE2835" w:rsidRDefault="00BE2835">
      <w:pPr>
        <w:pStyle w:val="Testonotaapidipagina"/>
      </w:pPr>
      <w:r w:rsidRPr="00980667">
        <w:rPr>
          <w:rStyle w:val="Rimandonotaapidipagina"/>
        </w:rPr>
        <w:footnoteRef/>
      </w:r>
      <w:r w:rsidRPr="00980667">
        <w:t xml:space="preserve"> Invero, la normativa non indica la data entro la quale non debba essere stata notificata la cartella di pagamento/ingiunzione fis</w:t>
      </w:r>
      <w:r w:rsidR="00B00955" w:rsidRPr="00980667">
        <w:t>c</w:t>
      </w:r>
      <w:r w:rsidRPr="00980667">
        <w:t xml:space="preserve">ale o atto di intimazione ad adempiere, non facendo espresso riferimento alla data del 1° gennaio 2023, </w:t>
      </w:r>
      <w:r w:rsidR="00F614F7" w:rsidRPr="00980667">
        <w:t>pertanto</w:t>
      </w:r>
      <w:r w:rsidR="00195113" w:rsidRPr="00980667">
        <w:t xml:space="preserve">, </w:t>
      </w:r>
      <w:r w:rsidR="002F7D0E" w:rsidRPr="00980667">
        <w:t>si deve ritenere che la notifica non deve essere avvenuta prima della data di regolarizzazione</w:t>
      </w:r>
      <w:r w:rsidR="00F614F7" w:rsidRPr="00980667">
        <w:t xml:space="preserve"> (si veda anche Agenzia delle entrate, circolare n. 2/2023)</w:t>
      </w:r>
      <w:r w:rsidR="002F7D0E" w:rsidRPr="00980667">
        <w:t>.</w:t>
      </w:r>
      <w:r w:rsidR="00B00955" w:rsidRPr="00980667">
        <w:t xml:space="preserve"> Inoltre, si ritiene che la regolarizzazione non sia preclusa in caso di avvenuta notifica del provvedimento di decadenza dal beneficio della rateizzazione, anche adottato entro il 1° gennaio 2023, in assenza di successiva notifica del titolo esecutivo o di intimazione ad adempiere.</w:t>
      </w:r>
    </w:p>
  </w:footnote>
  <w:footnote w:id="38">
    <w:p w14:paraId="452FD26C" w14:textId="77777777" w:rsidR="00BE2835" w:rsidRDefault="00BE2835">
      <w:pPr>
        <w:pStyle w:val="Testonotaapidipagina"/>
      </w:pPr>
      <w:r>
        <w:rPr>
          <w:rStyle w:val="Rimandonotaapidipagina"/>
        </w:rPr>
        <w:footnoteRef/>
      </w:r>
      <w:r>
        <w:t xml:space="preserve"> Nell’ipotesi degli accertamenti esecutivi.</w:t>
      </w:r>
    </w:p>
  </w:footnote>
  <w:footnote w:id="39">
    <w:p w14:paraId="56A860B6" w14:textId="121E7BEF" w:rsidR="000A5B2A" w:rsidRDefault="000A5B2A">
      <w:pPr>
        <w:pStyle w:val="Testonotaapidipagina"/>
      </w:pPr>
      <w:r w:rsidRPr="001C01E5">
        <w:rPr>
          <w:rStyle w:val="Rimandonotaapidipagina"/>
        </w:rPr>
        <w:footnoteRef/>
      </w:r>
      <w:r w:rsidRPr="001C01E5">
        <w:t xml:space="preserve"> L’art. 1, comma 220, legge 197/2022, invero, prevede la data del 31 marzo 2023, data incompatibile con il termine ultimo entro il quale il Comune può deliberare la regolarizzazione</w:t>
      </w:r>
      <w:r w:rsidR="001C01E5" w:rsidRPr="001C01E5">
        <w:t xml:space="preserve">, che il nuovo comma </w:t>
      </w:r>
      <w:r w:rsidRPr="001C01E5">
        <w:t xml:space="preserve">221-bis </w:t>
      </w:r>
      <w:r w:rsidR="001C01E5" w:rsidRPr="001C01E5">
        <w:t xml:space="preserve">fissa proprio al 31 marzo 2023. Nel rispetto della prescrizione di cui all’art. 3, comma 2, della legge 212/2000, il Comune può indicare una data </w:t>
      </w:r>
      <w:r w:rsidR="00161D34">
        <w:t>non anteriore</w:t>
      </w:r>
      <w:r w:rsidR="00161D34" w:rsidRPr="001C01E5">
        <w:t xml:space="preserve"> </w:t>
      </w:r>
      <w:r w:rsidR="001C01E5" w:rsidRPr="001C01E5">
        <w:t>al 31</w:t>
      </w:r>
      <w:r w:rsidR="001C01E5">
        <w:t xml:space="preserve"> maggio. </w:t>
      </w:r>
    </w:p>
  </w:footnote>
  <w:footnote w:id="40">
    <w:p w14:paraId="1492FA0A" w14:textId="73DB2A73" w:rsidR="006C21EF" w:rsidRDefault="006C21EF">
      <w:pPr>
        <w:pStyle w:val="Testonotaapidipagina"/>
      </w:pPr>
      <w:r>
        <w:rPr>
          <w:rStyle w:val="Rimandonotaapidipagina"/>
        </w:rPr>
        <w:footnoteRef/>
      </w:r>
      <w:r>
        <w:t xml:space="preserve"> E quindi il </w:t>
      </w:r>
      <w:r w:rsidRPr="00E25356">
        <w:rPr>
          <w:i/>
          <w:iCs/>
        </w:rPr>
        <w:t>dies a quo</w:t>
      </w:r>
      <w:r>
        <w:t xml:space="preserve"> coincide con </w:t>
      </w:r>
      <w:r w:rsidR="00161D34">
        <w:t>il termine d</w:t>
      </w:r>
      <w:r w:rsidR="00EF6EC4">
        <w:t>i</w:t>
      </w:r>
      <w:r w:rsidR="00161D34">
        <w:t xml:space="preserve"> pagamento </w:t>
      </w:r>
      <w:r>
        <w:t xml:space="preserve">della </w:t>
      </w:r>
      <w:r w:rsidR="00D74D47">
        <w:t>r</w:t>
      </w:r>
      <w:r>
        <w:t>ata non pagata</w:t>
      </w:r>
      <w:r w:rsidR="00E25356">
        <w:t>, conformemente a quanto statuito anche dalla giurisprudenza di legittimità (</w:t>
      </w:r>
      <w:r w:rsidR="004B72E0">
        <w:t xml:space="preserve">da ultimo, </w:t>
      </w:r>
      <w:r w:rsidR="00E25356">
        <w:t xml:space="preserve">Cass. </w:t>
      </w:r>
      <w:r w:rsidR="004B72E0">
        <w:t>n. 37389/2022).</w:t>
      </w:r>
    </w:p>
  </w:footnote>
  <w:footnote w:id="41">
    <w:p w14:paraId="3F1B12C4" w14:textId="1C5AC65A" w:rsidR="00980667" w:rsidRDefault="00980667">
      <w:pPr>
        <w:pStyle w:val="Testonotaapidipagina"/>
      </w:pPr>
      <w:r>
        <w:rPr>
          <w:rStyle w:val="Rimandonotaapidipagina"/>
        </w:rPr>
        <w:footnoteRef/>
      </w:r>
      <w:r>
        <w:t xml:space="preserve"> A condizione che alla delibera consiliare si attribuisca l’immediata esecutività.</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259"/>
      <w:gridCol w:w="6488"/>
    </w:tblGrid>
    <w:tr w:rsidR="006D0D83" w:rsidRPr="0088738B" w14:paraId="36EE2566" w14:textId="77777777" w:rsidTr="00D128EB">
      <w:tc>
        <w:tcPr>
          <w:tcW w:w="3259" w:type="dxa"/>
          <w:shd w:val="clear" w:color="auto" w:fill="auto"/>
          <w:vAlign w:val="center"/>
        </w:tcPr>
        <w:p w14:paraId="4B501678" w14:textId="77777777" w:rsidR="006D0D83" w:rsidRPr="005632F9" w:rsidRDefault="006D0D83" w:rsidP="00D128EB">
          <w:pPr>
            <w:pStyle w:val="Intestazione"/>
            <w:tabs>
              <w:tab w:val="clear" w:pos="4819"/>
              <w:tab w:val="clear" w:pos="9638"/>
            </w:tabs>
          </w:pPr>
          <w:r>
            <w:rPr>
              <w:noProof/>
            </w:rPr>
            <w:drawing>
              <wp:inline distT="0" distB="0" distL="0" distR="0" wp14:anchorId="0E08DD46" wp14:editId="051D7065">
                <wp:extent cx="747395" cy="628015"/>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395" cy="628015"/>
                        </a:xfrm>
                        <a:prstGeom prst="rect">
                          <a:avLst/>
                        </a:prstGeom>
                        <a:noFill/>
                        <a:ln>
                          <a:noFill/>
                        </a:ln>
                      </pic:spPr>
                    </pic:pic>
                  </a:graphicData>
                </a:graphic>
              </wp:inline>
            </w:drawing>
          </w:r>
        </w:p>
      </w:tc>
      <w:tc>
        <w:tcPr>
          <w:tcW w:w="6488" w:type="dxa"/>
          <w:shd w:val="clear" w:color="auto" w:fill="auto"/>
          <w:vAlign w:val="center"/>
        </w:tcPr>
        <w:p w14:paraId="5A7ADFF2" w14:textId="77777777" w:rsidR="006D0D83" w:rsidRPr="00DD5D5D" w:rsidRDefault="006D0D83" w:rsidP="00D128EB">
          <w:pPr>
            <w:pStyle w:val="Intestazione"/>
            <w:tabs>
              <w:tab w:val="clear" w:pos="4819"/>
              <w:tab w:val="clear" w:pos="9638"/>
            </w:tabs>
            <w:jc w:val="right"/>
            <w:rPr>
              <w:i/>
              <w:iCs/>
              <w:sz w:val="20"/>
              <w:szCs w:val="20"/>
            </w:rPr>
          </w:pPr>
        </w:p>
      </w:tc>
    </w:tr>
  </w:tbl>
  <w:p w14:paraId="691D95C4" w14:textId="77777777" w:rsidR="006D0D83" w:rsidRDefault="006D0D83" w:rsidP="006D0D83">
    <w:pPr>
      <w:pStyle w:val="Intestazione"/>
    </w:pPr>
  </w:p>
  <w:p w14:paraId="2F0766A2" w14:textId="77777777" w:rsidR="006D0D83" w:rsidRPr="006D0D83" w:rsidRDefault="006D0D83" w:rsidP="006D0D8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D2B53"/>
    <w:multiLevelType w:val="hybridMultilevel"/>
    <w:tmpl w:val="0ADE2C6A"/>
    <w:lvl w:ilvl="0" w:tplc="84FA11C4">
      <w:start w:val="1"/>
      <w:numFmt w:val="decimal"/>
      <w:lvlText w:val="%1-"/>
      <w:lvlJc w:val="left"/>
      <w:pPr>
        <w:ind w:left="757" w:hanging="360"/>
      </w:pPr>
      <w:rPr>
        <w:rFonts w:hint="default"/>
      </w:r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abstractNum w:abstractNumId="1" w15:restartNumberingAfterBreak="0">
    <w:nsid w:val="3B92073E"/>
    <w:multiLevelType w:val="hybridMultilevel"/>
    <w:tmpl w:val="E892C49A"/>
    <w:lvl w:ilvl="0" w:tplc="04100001">
      <w:start w:val="1"/>
      <w:numFmt w:val="bullet"/>
      <w:lvlText w:val=""/>
      <w:lvlJc w:val="left"/>
      <w:pPr>
        <w:ind w:left="1117" w:hanging="360"/>
      </w:pPr>
      <w:rPr>
        <w:rFonts w:ascii="Symbol" w:hAnsi="Symbo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2" w15:restartNumberingAfterBreak="0">
    <w:nsid w:val="527A614E"/>
    <w:multiLevelType w:val="hybridMultilevel"/>
    <w:tmpl w:val="7C5C7C84"/>
    <w:lvl w:ilvl="0" w:tplc="5656B51C">
      <w:start w:val="7"/>
      <w:numFmt w:val="bullet"/>
      <w:lvlText w:val="-"/>
      <w:lvlJc w:val="left"/>
      <w:pPr>
        <w:ind w:left="757" w:hanging="360"/>
      </w:pPr>
      <w:rPr>
        <w:rFonts w:ascii="Garamond" w:eastAsia="Times New Roman" w:hAnsi="Garamond" w:cs="Times New Roman" w:hint="default"/>
      </w:rPr>
    </w:lvl>
    <w:lvl w:ilvl="1" w:tplc="04100003">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3" w15:restartNumberingAfterBreak="0">
    <w:nsid w:val="5B121B47"/>
    <w:multiLevelType w:val="hybridMultilevel"/>
    <w:tmpl w:val="0C4C163E"/>
    <w:lvl w:ilvl="0" w:tplc="F806B30A">
      <w:start w:val="3"/>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6785CBD"/>
    <w:multiLevelType w:val="hybridMultilevel"/>
    <w:tmpl w:val="0F101E64"/>
    <w:lvl w:ilvl="0" w:tplc="3B84BF80">
      <w:start w:val="1"/>
      <w:numFmt w:val="decimal"/>
      <w:lvlText w:val="%1."/>
      <w:lvlJc w:val="left"/>
      <w:pPr>
        <w:ind w:left="757" w:hanging="360"/>
      </w:pPr>
      <w:rPr>
        <w:rFonts w:hint="default"/>
      </w:r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abstractNum w:abstractNumId="5" w15:restartNumberingAfterBreak="0">
    <w:nsid w:val="72516BC8"/>
    <w:multiLevelType w:val="hybridMultilevel"/>
    <w:tmpl w:val="DE70292C"/>
    <w:lvl w:ilvl="0" w:tplc="C2FCB4F6">
      <w:start w:val="1"/>
      <w:numFmt w:val="decimal"/>
      <w:lvlText w:val="%1."/>
      <w:lvlJc w:val="left"/>
      <w:pPr>
        <w:ind w:left="757" w:hanging="360"/>
      </w:pPr>
      <w:rPr>
        <w:rFonts w:hint="default"/>
      </w:r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79"/>
  <w:trackRevision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2E3"/>
    <w:rsid w:val="00023F56"/>
    <w:rsid w:val="000356E3"/>
    <w:rsid w:val="00037787"/>
    <w:rsid w:val="000521B8"/>
    <w:rsid w:val="000529C5"/>
    <w:rsid w:val="00060EC8"/>
    <w:rsid w:val="00063EBC"/>
    <w:rsid w:val="0008250C"/>
    <w:rsid w:val="00090093"/>
    <w:rsid w:val="000A5B2A"/>
    <w:rsid w:val="000B178F"/>
    <w:rsid w:val="000C164A"/>
    <w:rsid w:val="000C5B79"/>
    <w:rsid w:val="000D4600"/>
    <w:rsid w:val="000E3221"/>
    <w:rsid w:val="000E5FA0"/>
    <w:rsid w:val="00145F8E"/>
    <w:rsid w:val="0015434D"/>
    <w:rsid w:val="00155F09"/>
    <w:rsid w:val="0015712A"/>
    <w:rsid w:val="00161D34"/>
    <w:rsid w:val="001664EA"/>
    <w:rsid w:val="00195113"/>
    <w:rsid w:val="001B5B82"/>
    <w:rsid w:val="001C01E5"/>
    <w:rsid w:val="001D1585"/>
    <w:rsid w:val="001E401E"/>
    <w:rsid w:val="001F187C"/>
    <w:rsid w:val="00200CD2"/>
    <w:rsid w:val="00212E82"/>
    <w:rsid w:val="0022155A"/>
    <w:rsid w:val="00232C62"/>
    <w:rsid w:val="002351C2"/>
    <w:rsid w:val="002651D8"/>
    <w:rsid w:val="00270BE9"/>
    <w:rsid w:val="002757DC"/>
    <w:rsid w:val="002844EA"/>
    <w:rsid w:val="002A1C42"/>
    <w:rsid w:val="002A2189"/>
    <w:rsid w:val="002C419E"/>
    <w:rsid w:val="002C65DD"/>
    <w:rsid w:val="002D0842"/>
    <w:rsid w:val="002D35C3"/>
    <w:rsid w:val="002D3C1B"/>
    <w:rsid w:val="002E103A"/>
    <w:rsid w:val="002E36C8"/>
    <w:rsid w:val="002F637D"/>
    <w:rsid w:val="002F7D0E"/>
    <w:rsid w:val="00304704"/>
    <w:rsid w:val="003164BE"/>
    <w:rsid w:val="00321721"/>
    <w:rsid w:val="003227A4"/>
    <w:rsid w:val="00342AF3"/>
    <w:rsid w:val="0034373C"/>
    <w:rsid w:val="0035199A"/>
    <w:rsid w:val="00356366"/>
    <w:rsid w:val="003669DC"/>
    <w:rsid w:val="00366F1E"/>
    <w:rsid w:val="00373411"/>
    <w:rsid w:val="003736C1"/>
    <w:rsid w:val="0038118C"/>
    <w:rsid w:val="00385F74"/>
    <w:rsid w:val="00390586"/>
    <w:rsid w:val="00396E4C"/>
    <w:rsid w:val="003A2050"/>
    <w:rsid w:val="003B69A8"/>
    <w:rsid w:val="003B6C8D"/>
    <w:rsid w:val="003C655B"/>
    <w:rsid w:val="003C6D23"/>
    <w:rsid w:val="003C6D2A"/>
    <w:rsid w:val="003E2139"/>
    <w:rsid w:val="003F1A7C"/>
    <w:rsid w:val="00424C85"/>
    <w:rsid w:val="00431454"/>
    <w:rsid w:val="00461769"/>
    <w:rsid w:val="00465084"/>
    <w:rsid w:val="0047496A"/>
    <w:rsid w:val="0047728B"/>
    <w:rsid w:val="004A52BC"/>
    <w:rsid w:val="004B72E0"/>
    <w:rsid w:val="004E1595"/>
    <w:rsid w:val="004F681D"/>
    <w:rsid w:val="005218DE"/>
    <w:rsid w:val="00523A4C"/>
    <w:rsid w:val="00523BE5"/>
    <w:rsid w:val="005308D4"/>
    <w:rsid w:val="005548F9"/>
    <w:rsid w:val="0056688B"/>
    <w:rsid w:val="005825F8"/>
    <w:rsid w:val="0058352D"/>
    <w:rsid w:val="005969A2"/>
    <w:rsid w:val="005A36F5"/>
    <w:rsid w:val="005B3D5B"/>
    <w:rsid w:val="005C3869"/>
    <w:rsid w:val="005D1A3A"/>
    <w:rsid w:val="005D3A61"/>
    <w:rsid w:val="006402A0"/>
    <w:rsid w:val="0064234B"/>
    <w:rsid w:val="00686151"/>
    <w:rsid w:val="00692C30"/>
    <w:rsid w:val="006A7674"/>
    <w:rsid w:val="006C21EF"/>
    <w:rsid w:val="006D0D83"/>
    <w:rsid w:val="006D1EC2"/>
    <w:rsid w:val="006F3C21"/>
    <w:rsid w:val="006F52E3"/>
    <w:rsid w:val="006F5C58"/>
    <w:rsid w:val="00704D21"/>
    <w:rsid w:val="007061FA"/>
    <w:rsid w:val="00710C4C"/>
    <w:rsid w:val="00733BC3"/>
    <w:rsid w:val="00734CC3"/>
    <w:rsid w:val="00745D3F"/>
    <w:rsid w:val="00762C79"/>
    <w:rsid w:val="007974DC"/>
    <w:rsid w:val="007D3634"/>
    <w:rsid w:val="007F139C"/>
    <w:rsid w:val="007F25C1"/>
    <w:rsid w:val="007F2707"/>
    <w:rsid w:val="007F5B5B"/>
    <w:rsid w:val="00811BEC"/>
    <w:rsid w:val="00822AEF"/>
    <w:rsid w:val="00840F25"/>
    <w:rsid w:val="00842CB8"/>
    <w:rsid w:val="0084527A"/>
    <w:rsid w:val="00847307"/>
    <w:rsid w:val="00870086"/>
    <w:rsid w:val="00882743"/>
    <w:rsid w:val="00894AA2"/>
    <w:rsid w:val="008961AE"/>
    <w:rsid w:val="00896E6F"/>
    <w:rsid w:val="00897FC4"/>
    <w:rsid w:val="008C33F9"/>
    <w:rsid w:val="008E440F"/>
    <w:rsid w:val="008F2C1E"/>
    <w:rsid w:val="008F5BDA"/>
    <w:rsid w:val="009159DD"/>
    <w:rsid w:val="009351B5"/>
    <w:rsid w:val="00941593"/>
    <w:rsid w:val="009552C3"/>
    <w:rsid w:val="00980667"/>
    <w:rsid w:val="0098252B"/>
    <w:rsid w:val="0099046A"/>
    <w:rsid w:val="0099048A"/>
    <w:rsid w:val="009D46C3"/>
    <w:rsid w:val="009E1820"/>
    <w:rsid w:val="009E34AB"/>
    <w:rsid w:val="009E500F"/>
    <w:rsid w:val="00A01281"/>
    <w:rsid w:val="00A218AA"/>
    <w:rsid w:val="00A469D1"/>
    <w:rsid w:val="00A52E5F"/>
    <w:rsid w:val="00A70B5E"/>
    <w:rsid w:val="00A908C2"/>
    <w:rsid w:val="00A95748"/>
    <w:rsid w:val="00A97767"/>
    <w:rsid w:val="00A97A06"/>
    <w:rsid w:val="00AA73CD"/>
    <w:rsid w:val="00AB0637"/>
    <w:rsid w:val="00AB64DC"/>
    <w:rsid w:val="00AD3A11"/>
    <w:rsid w:val="00AD5767"/>
    <w:rsid w:val="00AD5D0E"/>
    <w:rsid w:val="00B00955"/>
    <w:rsid w:val="00B14136"/>
    <w:rsid w:val="00B16D23"/>
    <w:rsid w:val="00B27847"/>
    <w:rsid w:val="00B342FB"/>
    <w:rsid w:val="00B43911"/>
    <w:rsid w:val="00B63C4C"/>
    <w:rsid w:val="00B6459D"/>
    <w:rsid w:val="00B94406"/>
    <w:rsid w:val="00B95B6F"/>
    <w:rsid w:val="00BC05BE"/>
    <w:rsid w:val="00BD01E6"/>
    <w:rsid w:val="00BE2835"/>
    <w:rsid w:val="00BE4212"/>
    <w:rsid w:val="00BF2F96"/>
    <w:rsid w:val="00BF4233"/>
    <w:rsid w:val="00BF53FD"/>
    <w:rsid w:val="00C117BE"/>
    <w:rsid w:val="00C12D3F"/>
    <w:rsid w:val="00C13DF1"/>
    <w:rsid w:val="00C16DB3"/>
    <w:rsid w:val="00C21E03"/>
    <w:rsid w:val="00C27B8E"/>
    <w:rsid w:val="00C331E0"/>
    <w:rsid w:val="00C43107"/>
    <w:rsid w:val="00C463D1"/>
    <w:rsid w:val="00C77434"/>
    <w:rsid w:val="00CB2EBF"/>
    <w:rsid w:val="00CB334C"/>
    <w:rsid w:val="00CB6098"/>
    <w:rsid w:val="00CE3BB1"/>
    <w:rsid w:val="00CE4B7F"/>
    <w:rsid w:val="00D039FE"/>
    <w:rsid w:val="00D10BDA"/>
    <w:rsid w:val="00D15B20"/>
    <w:rsid w:val="00D15FCA"/>
    <w:rsid w:val="00D22BA2"/>
    <w:rsid w:val="00D2578C"/>
    <w:rsid w:val="00D6033E"/>
    <w:rsid w:val="00D74963"/>
    <w:rsid w:val="00D74D47"/>
    <w:rsid w:val="00D77DDC"/>
    <w:rsid w:val="00D97ADE"/>
    <w:rsid w:val="00DA7575"/>
    <w:rsid w:val="00DB77E0"/>
    <w:rsid w:val="00DD19E9"/>
    <w:rsid w:val="00DE2924"/>
    <w:rsid w:val="00DF0C55"/>
    <w:rsid w:val="00E010ED"/>
    <w:rsid w:val="00E01A2E"/>
    <w:rsid w:val="00E12538"/>
    <w:rsid w:val="00E127E5"/>
    <w:rsid w:val="00E15DB4"/>
    <w:rsid w:val="00E16C97"/>
    <w:rsid w:val="00E214EE"/>
    <w:rsid w:val="00E237A1"/>
    <w:rsid w:val="00E25356"/>
    <w:rsid w:val="00E32A42"/>
    <w:rsid w:val="00E407D6"/>
    <w:rsid w:val="00E57731"/>
    <w:rsid w:val="00E672C0"/>
    <w:rsid w:val="00E67BA0"/>
    <w:rsid w:val="00E81219"/>
    <w:rsid w:val="00EA4B72"/>
    <w:rsid w:val="00EB0E4F"/>
    <w:rsid w:val="00EB2E67"/>
    <w:rsid w:val="00EB501C"/>
    <w:rsid w:val="00ED1C1C"/>
    <w:rsid w:val="00EE610D"/>
    <w:rsid w:val="00EF6EC4"/>
    <w:rsid w:val="00F14D76"/>
    <w:rsid w:val="00F21254"/>
    <w:rsid w:val="00F2694C"/>
    <w:rsid w:val="00F34593"/>
    <w:rsid w:val="00F614F7"/>
    <w:rsid w:val="00F678BE"/>
    <w:rsid w:val="00F759A1"/>
    <w:rsid w:val="00FC6EAF"/>
    <w:rsid w:val="00FD0488"/>
    <w:rsid w:val="00FE46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5E35F"/>
  <w15:docId w15:val="{9C040760-4B2A-4918-966A-BBFD0F81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F52E3"/>
    <w:pPr>
      <w:spacing w:after="0" w:line="240" w:lineRule="auto"/>
    </w:pPr>
    <w:rPr>
      <w:rFonts w:ascii="Calibri" w:eastAsia="Calibri" w:hAnsi="Calibri" w:cs="Times New Roman"/>
      <w:lang w:eastAsia="it-IT"/>
    </w:rPr>
  </w:style>
  <w:style w:type="paragraph" w:styleId="Titolo3">
    <w:name w:val="heading 3"/>
    <w:basedOn w:val="Normale"/>
    <w:next w:val="Normale"/>
    <w:link w:val="Titolo3Carattere"/>
    <w:qFormat/>
    <w:rsid w:val="006F52E3"/>
    <w:pPr>
      <w:keepNext/>
      <w:jc w:val="center"/>
      <w:outlineLvl w:val="2"/>
    </w:pPr>
    <w:rPr>
      <w:rFonts w:ascii="Times New Roman" w:eastAsia="Times New Roman" w:hAnsi="Times New Roman"/>
      <w:b/>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6F52E3"/>
    <w:rPr>
      <w:rFonts w:ascii="Times New Roman" w:eastAsia="Times New Roman" w:hAnsi="Times New Roman" w:cs="Times New Roman"/>
      <w:b/>
      <w:sz w:val="24"/>
      <w:szCs w:val="20"/>
      <w:lang w:eastAsia="it-IT"/>
    </w:rPr>
  </w:style>
  <w:style w:type="paragraph" w:customStyle="1" w:styleId="testo">
    <w:name w:val="testo"/>
    <w:rsid w:val="006F52E3"/>
    <w:pPr>
      <w:spacing w:after="0" w:line="240" w:lineRule="auto"/>
      <w:ind w:firstLine="397"/>
      <w:jc w:val="both"/>
    </w:pPr>
    <w:rPr>
      <w:rFonts w:ascii="Garamond" w:eastAsia="Times New Roman" w:hAnsi="Garamond" w:cs="Times New Roman"/>
      <w:sz w:val="23"/>
      <w:szCs w:val="23"/>
      <w:lang w:eastAsia="it-IT"/>
    </w:rPr>
  </w:style>
  <w:style w:type="paragraph" w:styleId="Titolo">
    <w:name w:val="Title"/>
    <w:basedOn w:val="Normale"/>
    <w:link w:val="TitoloCarattere"/>
    <w:qFormat/>
    <w:rsid w:val="006F52E3"/>
    <w:pPr>
      <w:jc w:val="center"/>
    </w:pPr>
    <w:rPr>
      <w:rFonts w:ascii="Times New Roman" w:eastAsia="Times New Roman" w:hAnsi="Times New Roman"/>
      <w:b/>
      <w:sz w:val="20"/>
      <w:szCs w:val="20"/>
    </w:rPr>
  </w:style>
  <w:style w:type="character" w:customStyle="1" w:styleId="TitoloCarattere">
    <w:name w:val="Titolo Carattere"/>
    <w:basedOn w:val="Carpredefinitoparagrafo"/>
    <w:link w:val="Titolo"/>
    <w:rsid w:val="006F52E3"/>
    <w:rPr>
      <w:rFonts w:ascii="Times New Roman" w:eastAsia="Times New Roman" w:hAnsi="Times New Roman" w:cs="Times New Roman"/>
      <w:b/>
      <w:sz w:val="20"/>
      <w:szCs w:val="20"/>
      <w:lang w:eastAsia="it-IT"/>
    </w:rPr>
  </w:style>
  <w:style w:type="paragraph" w:styleId="Rientrocorpodeltesto">
    <w:name w:val="Body Text Indent"/>
    <w:basedOn w:val="Normale"/>
    <w:link w:val="RientrocorpodeltestoCarattere"/>
    <w:semiHidden/>
    <w:rsid w:val="006F52E3"/>
    <w:pPr>
      <w:tabs>
        <w:tab w:val="left" w:pos="0"/>
      </w:tabs>
      <w:ind w:firstLine="284"/>
      <w:jc w:val="both"/>
    </w:pPr>
    <w:rPr>
      <w:rFonts w:ascii="Times New Roman" w:eastAsia="Times New Roman" w:hAnsi="Times New Roman"/>
      <w:sz w:val="24"/>
      <w:szCs w:val="20"/>
    </w:rPr>
  </w:style>
  <w:style w:type="character" w:customStyle="1" w:styleId="RientrocorpodeltestoCarattere">
    <w:name w:val="Rientro corpo del testo Carattere"/>
    <w:basedOn w:val="Carpredefinitoparagrafo"/>
    <w:link w:val="Rientrocorpodeltesto"/>
    <w:semiHidden/>
    <w:rsid w:val="006F52E3"/>
    <w:rPr>
      <w:rFonts w:ascii="Times New Roman" w:eastAsia="Times New Roman" w:hAnsi="Times New Roman" w:cs="Times New Roman"/>
      <w:sz w:val="24"/>
      <w:szCs w:val="20"/>
      <w:lang w:eastAsia="it-IT"/>
    </w:rPr>
  </w:style>
  <w:style w:type="paragraph" w:styleId="Sommario3">
    <w:name w:val="toc 3"/>
    <w:basedOn w:val="Normale"/>
    <w:next w:val="Normale"/>
    <w:autoRedefine/>
    <w:uiPriority w:val="39"/>
    <w:unhideWhenUsed/>
    <w:rsid w:val="00980667"/>
    <w:pPr>
      <w:tabs>
        <w:tab w:val="right" w:leader="dot" w:pos="9628"/>
      </w:tabs>
      <w:spacing w:after="60"/>
      <w:ind w:left="442"/>
    </w:pPr>
  </w:style>
  <w:style w:type="character" w:styleId="Collegamentoipertestuale">
    <w:name w:val="Hyperlink"/>
    <w:uiPriority w:val="99"/>
    <w:unhideWhenUsed/>
    <w:rsid w:val="006F52E3"/>
    <w:rPr>
      <w:color w:val="0000FF"/>
      <w:u w:val="single"/>
    </w:rPr>
  </w:style>
  <w:style w:type="paragraph" w:styleId="Pidipagina">
    <w:name w:val="footer"/>
    <w:basedOn w:val="Normale"/>
    <w:link w:val="PidipaginaCarattere"/>
    <w:uiPriority w:val="99"/>
    <w:unhideWhenUsed/>
    <w:rsid w:val="006F52E3"/>
    <w:pPr>
      <w:tabs>
        <w:tab w:val="center" w:pos="4819"/>
        <w:tab w:val="right" w:pos="9638"/>
      </w:tabs>
    </w:pPr>
  </w:style>
  <w:style w:type="character" w:customStyle="1" w:styleId="PidipaginaCarattere">
    <w:name w:val="Piè di pagina Carattere"/>
    <w:basedOn w:val="Carpredefinitoparagrafo"/>
    <w:link w:val="Pidipagina"/>
    <w:uiPriority w:val="99"/>
    <w:rsid w:val="006F52E3"/>
    <w:rPr>
      <w:rFonts w:ascii="Calibri" w:eastAsia="Calibri" w:hAnsi="Calibri" w:cs="Times New Roman"/>
      <w:lang w:eastAsia="it-IT"/>
    </w:rPr>
  </w:style>
  <w:style w:type="paragraph" w:styleId="Testonotaapidipagina">
    <w:name w:val="footnote text"/>
    <w:basedOn w:val="Normale"/>
    <w:link w:val="TestonotaapidipaginaCarattere"/>
    <w:uiPriority w:val="99"/>
    <w:unhideWhenUsed/>
    <w:rsid w:val="006A7674"/>
    <w:pPr>
      <w:spacing w:line="288" w:lineRule="auto"/>
      <w:jc w:val="both"/>
    </w:pPr>
    <w:rPr>
      <w:rFonts w:ascii="Bookman Old Style" w:hAnsi="Bookman Old Style"/>
      <w:sz w:val="18"/>
      <w:szCs w:val="20"/>
    </w:rPr>
  </w:style>
  <w:style w:type="character" w:customStyle="1" w:styleId="TestonotaapidipaginaCarattere">
    <w:name w:val="Testo nota a piè di pagina Carattere"/>
    <w:basedOn w:val="Carpredefinitoparagrafo"/>
    <w:link w:val="Testonotaapidipagina"/>
    <w:uiPriority w:val="99"/>
    <w:rsid w:val="006A7674"/>
    <w:rPr>
      <w:rFonts w:ascii="Bookman Old Style" w:eastAsia="Calibri" w:hAnsi="Bookman Old Style" w:cs="Times New Roman"/>
      <w:sz w:val="18"/>
      <w:szCs w:val="20"/>
      <w:lang w:eastAsia="it-IT"/>
    </w:rPr>
  </w:style>
  <w:style w:type="character" w:styleId="Rimandonotaapidipagina">
    <w:name w:val="footnote reference"/>
    <w:basedOn w:val="Carpredefinitoparagrafo"/>
    <w:uiPriority w:val="99"/>
    <w:semiHidden/>
    <w:unhideWhenUsed/>
    <w:rsid w:val="00356366"/>
    <w:rPr>
      <w:vertAlign w:val="superscript"/>
    </w:rPr>
  </w:style>
  <w:style w:type="paragraph" w:styleId="Intestazione">
    <w:name w:val="header"/>
    <w:basedOn w:val="Normale"/>
    <w:link w:val="IntestazioneCarattere"/>
    <w:unhideWhenUsed/>
    <w:rsid w:val="002D0842"/>
    <w:pPr>
      <w:tabs>
        <w:tab w:val="center" w:pos="4819"/>
        <w:tab w:val="right" w:pos="9638"/>
      </w:tabs>
    </w:pPr>
  </w:style>
  <w:style w:type="character" w:customStyle="1" w:styleId="IntestazioneCarattere">
    <w:name w:val="Intestazione Carattere"/>
    <w:basedOn w:val="Carpredefinitoparagrafo"/>
    <w:link w:val="Intestazione"/>
    <w:rsid w:val="002D0842"/>
    <w:rPr>
      <w:rFonts w:ascii="Calibri" w:eastAsia="Calibri" w:hAnsi="Calibri" w:cs="Times New Roman"/>
      <w:lang w:eastAsia="it-IT"/>
    </w:rPr>
  </w:style>
  <w:style w:type="paragraph" w:styleId="Sommario1">
    <w:name w:val="toc 1"/>
    <w:basedOn w:val="Normale"/>
    <w:next w:val="Normale"/>
    <w:autoRedefine/>
    <w:uiPriority w:val="39"/>
    <w:unhideWhenUsed/>
    <w:rsid w:val="001C01E5"/>
    <w:pPr>
      <w:spacing w:after="100"/>
    </w:pPr>
  </w:style>
  <w:style w:type="paragraph" w:styleId="Testofumetto">
    <w:name w:val="Balloon Text"/>
    <w:basedOn w:val="Normale"/>
    <w:link w:val="TestofumettoCarattere"/>
    <w:uiPriority w:val="99"/>
    <w:semiHidden/>
    <w:unhideWhenUsed/>
    <w:rsid w:val="006D0D8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0D83"/>
    <w:rPr>
      <w:rFonts w:ascii="Tahoma" w:eastAsia="Calibri" w:hAnsi="Tahoma" w:cs="Tahoma"/>
      <w:sz w:val="16"/>
      <w:szCs w:val="16"/>
      <w:lang w:eastAsia="it-IT"/>
    </w:rPr>
  </w:style>
  <w:style w:type="paragraph" w:styleId="Revisione">
    <w:name w:val="Revision"/>
    <w:hidden/>
    <w:uiPriority w:val="99"/>
    <w:semiHidden/>
    <w:rsid w:val="002F637D"/>
    <w:pPr>
      <w:spacing w:after="0" w:line="240" w:lineRule="auto"/>
    </w:pPr>
    <w:rPr>
      <w:rFonts w:ascii="Calibri" w:eastAsia="Calibri" w:hAnsi="Calibri" w:cs="Times New Roman"/>
      <w:lang w:eastAsia="it-IT"/>
    </w:rPr>
  </w:style>
  <w:style w:type="character" w:styleId="Rimandocommento">
    <w:name w:val="annotation reference"/>
    <w:basedOn w:val="Carpredefinitoparagrafo"/>
    <w:uiPriority w:val="99"/>
    <w:semiHidden/>
    <w:unhideWhenUsed/>
    <w:rsid w:val="00F759A1"/>
    <w:rPr>
      <w:sz w:val="16"/>
      <w:szCs w:val="16"/>
    </w:rPr>
  </w:style>
  <w:style w:type="paragraph" w:styleId="Testocommento">
    <w:name w:val="annotation text"/>
    <w:basedOn w:val="Normale"/>
    <w:link w:val="TestocommentoCarattere"/>
    <w:uiPriority w:val="99"/>
    <w:unhideWhenUsed/>
    <w:rsid w:val="00F759A1"/>
    <w:rPr>
      <w:sz w:val="20"/>
      <w:szCs w:val="20"/>
    </w:rPr>
  </w:style>
  <w:style w:type="character" w:customStyle="1" w:styleId="TestocommentoCarattere">
    <w:name w:val="Testo commento Carattere"/>
    <w:basedOn w:val="Carpredefinitoparagrafo"/>
    <w:link w:val="Testocommento"/>
    <w:uiPriority w:val="99"/>
    <w:rsid w:val="00F759A1"/>
    <w:rPr>
      <w:rFonts w:ascii="Calibri" w:eastAsia="Calibri" w:hAnsi="Calibri"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759A1"/>
    <w:rPr>
      <w:b/>
      <w:bCs/>
    </w:rPr>
  </w:style>
  <w:style w:type="character" w:customStyle="1" w:styleId="SoggettocommentoCarattere">
    <w:name w:val="Soggetto commento Carattere"/>
    <w:basedOn w:val="TestocommentoCarattere"/>
    <w:link w:val="Soggettocommento"/>
    <w:uiPriority w:val="99"/>
    <w:semiHidden/>
    <w:rsid w:val="00F759A1"/>
    <w:rPr>
      <w:rFonts w:ascii="Calibri" w:eastAsia="Calibri" w:hAnsi="Calibri"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ondazioneifel.it/ifelinforma-news/item/11339-legge-di-bilancio-2023-gli-interventi-di-definizione-agevolata-dei-contenziosi-e-di-abbattimento-dei-crediti-affidati-all-agenzia-delle-entrate-riscossio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42361-3722-4BC9-A1D2-BEA136BCB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2755</Words>
  <Characters>15706</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Pasquale Mirto</dc:creator>
  <cp:lastModifiedBy>Luca Nobilini</cp:lastModifiedBy>
  <cp:revision>2</cp:revision>
  <dcterms:created xsi:type="dcterms:W3CDTF">2023-03-03T07:56:00Z</dcterms:created>
  <dcterms:modified xsi:type="dcterms:W3CDTF">2023-03-03T07:56:00Z</dcterms:modified>
</cp:coreProperties>
</file>